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cs="Times New Roman"/>
          <w:b w:val="false"/>
          <w:b w:val="false"/>
          <w:bCs/>
          <w:caps w:val="false"/>
          <w:smallCaps w:val="false"/>
          <w:color w:val="000000"/>
          <w:szCs w:val="28"/>
          <w:lang w:eastAsia="ru-RU"/>
        </w:rPr>
      </w:pPr>
      <w:r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  <w:t xml:space="preserve">                                                                                                                </w:t>
      </w:r>
      <w:r>
        <w:rPr>
          <w:rFonts w:cs="Times New Roman"/>
          <w:b w:val="false"/>
          <w:bCs/>
          <w:caps w:val="false"/>
          <w:smallCaps w:val="false"/>
          <w:color w:val="000000"/>
          <w:szCs w:val="28"/>
          <w:lang w:eastAsia="ru-RU"/>
        </w:rPr>
        <w:t>УТВЕРЖДАЮ</w:t>
      </w:r>
    </w:p>
    <w:p>
      <w:pPr>
        <w:pStyle w:val="Normal"/>
        <w:spacing w:before="0" w:after="0"/>
        <w:jc w:val="right"/>
        <w:rPr>
          <w:rFonts w:cs="Times New Roman"/>
          <w:b w:val="false"/>
          <w:b w:val="false"/>
          <w:bCs/>
          <w:caps w:val="false"/>
          <w:smallCaps w:val="false"/>
          <w:color w:val="000000"/>
          <w:szCs w:val="28"/>
          <w:lang w:eastAsia="ru-RU"/>
        </w:rPr>
      </w:pPr>
      <w:r>
        <w:rPr>
          <w:rFonts w:cs="Times New Roman"/>
          <w:b w:val="false"/>
          <w:bCs/>
          <w:caps w:val="false"/>
          <w:smallCaps w:val="false"/>
          <w:color w:val="000000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cs="Times New Roman"/>
          <w:b w:val="false"/>
          <w:bCs/>
          <w:caps w:val="false"/>
          <w:smallCaps w:val="false"/>
          <w:color w:val="000000"/>
          <w:szCs w:val="28"/>
          <w:lang w:eastAsia="ru-RU"/>
        </w:rPr>
        <w:t>Первый проректор  университета</w:t>
      </w:r>
    </w:p>
    <w:p>
      <w:pPr>
        <w:pStyle w:val="Normal"/>
        <w:spacing w:before="0" w:after="0"/>
        <w:rPr>
          <w:rFonts w:cs="Times New Roman"/>
          <w:b w:val="false"/>
          <w:b w:val="false"/>
          <w:bCs/>
          <w:caps w:val="false"/>
          <w:smallCaps w:val="false"/>
          <w:color w:val="000000"/>
          <w:szCs w:val="28"/>
          <w:lang w:eastAsia="ru-RU"/>
        </w:rPr>
      </w:pPr>
      <w:r>
        <w:rPr>
          <w:rFonts w:cs="Times New Roman"/>
          <w:b w:val="false"/>
          <w:bCs/>
          <w:caps w:val="false"/>
          <w:smallCaps w:val="false"/>
          <w:color w:val="000000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cs="Times New Roman"/>
          <w:b w:val="false"/>
          <w:bCs/>
          <w:caps w:val="false"/>
          <w:smallCaps w:val="false"/>
          <w:color w:val="000000"/>
          <w:szCs w:val="28"/>
          <w:lang w:eastAsia="ru-RU"/>
        </w:rPr>
        <w:t>_________Дунай В.И.</w:t>
      </w:r>
    </w:p>
    <w:p>
      <w:pPr>
        <w:pStyle w:val="Normal"/>
        <w:spacing w:before="0" w:after="0"/>
        <w:jc w:val="right"/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</w:pPr>
      <w:r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</w:r>
    </w:p>
    <w:p>
      <w:pPr>
        <w:pStyle w:val="Normal"/>
        <w:spacing w:before="0" w:after="0"/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</w:pPr>
      <w:r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</w:r>
    </w:p>
    <w:p>
      <w:pPr>
        <w:pStyle w:val="Normal"/>
        <w:spacing w:before="0" w:after="0"/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</w:pPr>
      <w:r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  <w:t>ПРОГРАММА</w:t>
      </w:r>
    </w:p>
    <w:p>
      <w:pPr>
        <w:pStyle w:val="Normal"/>
        <w:spacing w:before="0" w:after="0"/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</w:pPr>
      <w:r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</w:r>
    </w:p>
    <w:p>
      <w:pPr>
        <w:pStyle w:val="Normal"/>
        <w:spacing w:before="0" w:after="0"/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</w:pPr>
      <w:r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  <w:t xml:space="preserve">по адаптации иностранных студентов к условиям обучения в  Белорусском государственном университете физической культуры </w:t>
      </w:r>
    </w:p>
    <w:tbl>
      <w:tblPr>
        <w:tblStyle w:val="a3"/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1"/>
        <w:gridCol w:w="4553"/>
        <w:gridCol w:w="4163"/>
        <w:gridCol w:w="1505"/>
        <w:gridCol w:w="2127"/>
        <w:gridCol w:w="1636"/>
      </w:tblGrid>
      <w:tr>
        <w:trPr/>
        <w:tc>
          <w:tcPr>
            <w:tcW w:w="8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Cs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Cs/>
                <w:caps w:val="false"/>
                <w:smallCaps w:val="false"/>
                <w:color w:val="000000"/>
                <w:szCs w:val="28"/>
                <w:lang w:eastAsia="ru-RU"/>
              </w:rPr>
              <w:t xml:space="preserve">№ </w:t>
            </w:r>
            <w:r>
              <w:rPr>
                <w:rFonts w:cs="Times New Roman"/>
                <w:bCs/>
                <w:caps w:val="false"/>
                <w:smallCaps w:val="false"/>
                <w:color w:val="000000"/>
                <w:szCs w:val="28"/>
                <w:lang w:eastAsia="ru-RU"/>
              </w:rPr>
              <w:t>п/п</w:t>
            </w:r>
          </w:p>
        </w:tc>
        <w:tc>
          <w:tcPr>
            <w:tcW w:w="45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Cs/>
                <w:caps w:val="false"/>
                <w:smallCap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caps w:val="false"/>
                <w:smallCaps w:val="false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1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Cs/>
                <w:caps w:val="false"/>
                <w:smallCap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caps w:val="false"/>
                <w:smallCaps w:val="false"/>
                <w:color w:val="000000"/>
                <w:sz w:val="24"/>
                <w:szCs w:val="24"/>
                <w:lang w:eastAsia="ru-RU"/>
              </w:rPr>
              <w:t>Предложения по реализации мероприятия</w:t>
            </w:r>
          </w:p>
        </w:tc>
        <w:tc>
          <w:tcPr>
            <w:tcW w:w="15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Cs/>
                <w:caps w:val="false"/>
                <w:smallCap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caps w:val="false"/>
                <w:smallCaps w:val="false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1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Cs/>
                <w:caps w:val="false"/>
                <w:smallCap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caps w:val="false"/>
                <w:smallCaps w:val="false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6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Cs/>
                <w:caps w:val="false"/>
                <w:smallCap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caps w:val="false"/>
                <w:smallCaps w:val="false"/>
                <w:color w:val="000000"/>
                <w:sz w:val="24"/>
                <w:szCs w:val="24"/>
                <w:lang w:eastAsia="ru-RU"/>
              </w:rPr>
              <w:t>Выполнение</w:t>
            </w:r>
          </w:p>
        </w:tc>
      </w:tr>
    </w:tbl>
    <w:p>
      <w:pPr>
        <w:pStyle w:val="Normal"/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</w:pPr>
      <w:r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  <w:t>1. Социальная адаптация</w:t>
      </w:r>
    </w:p>
    <w:tbl>
      <w:tblPr>
        <w:tblStyle w:val="a3"/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4"/>
        <w:gridCol w:w="4540"/>
        <w:gridCol w:w="4221"/>
        <w:gridCol w:w="1409"/>
        <w:gridCol w:w="2166"/>
        <w:gridCol w:w="1635"/>
      </w:tblGrid>
      <w:tr>
        <w:trPr/>
        <w:tc>
          <w:tcPr>
            <w:tcW w:w="8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1.1</w:t>
            </w:r>
          </w:p>
        </w:tc>
        <w:tc>
          <w:tcPr>
            <w:tcW w:w="4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Организация прибытия и расселения иностранных студентов первого курса</w:t>
            </w:r>
          </w:p>
        </w:tc>
        <w:tc>
          <w:tcPr>
            <w:tcW w:w="42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1. Организованная встреча впервые прибывших в БГУФК иностранных граждан в аэропорту, на вокзалах.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 Оперативное расселение иностранных студентов в общежитие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БГУФК</w:t>
            </w:r>
          </w:p>
        </w:tc>
        <w:tc>
          <w:tcPr>
            <w:tcW w:w="14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По прибытии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По прибытии</w:t>
            </w:r>
          </w:p>
        </w:tc>
        <w:tc>
          <w:tcPr>
            <w:tcW w:w="21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 xml:space="preserve">  </w:t>
            </w: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ОМС,        заведующий общежитием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</w:tc>
        <w:tc>
          <w:tcPr>
            <w:tcW w:w="16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szCs w:val="28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szCs w:val="28"/>
              </w:rPr>
            </w:r>
          </w:p>
        </w:tc>
      </w:tr>
      <w:tr>
        <w:trPr/>
        <w:tc>
          <w:tcPr>
            <w:tcW w:w="8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1.2</w:t>
            </w:r>
          </w:p>
        </w:tc>
        <w:tc>
          <w:tcPr>
            <w:tcW w:w="4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Ознакомление с правилами и требованиями образовательного процесса в БГУФК</w:t>
            </w:r>
          </w:p>
        </w:tc>
        <w:tc>
          <w:tcPr>
            <w:tcW w:w="42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Проведение первичных организационных встреч с иностранными гражданами с целью: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 xml:space="preserve">• </w:t>
            </w: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знакомства со структурой БГУФК, молодежными организациями и органами самоуправления,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 xml:space="preserve">• </w:t>
            </w: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условиями и требованиями образовательного процесса,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 xml:space="preserve">• </w:t>
            </w: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правилами внутреннего распорядка.</w:t>
            </w:r>
          </w:p>
        </w:tc>
        <w:tc>
          <w:tcPr>
            <w:tcW w:w="14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По прибытии</w:t>
            </w:r>
          </w:p>
        </w:tc>
        <w:tc>
          <w:tcPr>
            <w:tcW w:w="21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ОВРМ, ОМС, деканаты, факультет довузовской подготовки</w:t>
            </w:r>
          </w:p>
        </w:tc>
        <w:tc>
          <w:tcPr>
            <w:tcW w:w="16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szCs w:val="28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szCs w:val="28"/>
              </w:rPr>
            </w:r>
          </w:p>
        </w:tc>
      </w:tr>
      <w:tr>
        <w:trPr/>
        <w:tc>
          <w:tcPr>
            <w:tcW w:w="8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1.3</w:t>
            </w:r>
          </w:p>
        </w:tc>
        <w:tc>
          <w:tcPr>
            <w:tcW w:w="4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Ознакомление с правилами и требованиями проживания в общежитии  БГУФК</w:t>
            </w:r>
          </w:p>
        </w:tc>
        <w:tc>
          <w:tcPr>
            <w:tcW w:w="42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Информирование иностранных студентов по основным вопросам проживания в общежитии БГУФК: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 xml:space="preserve">• </w:t>
            </w: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 xml:space="preserve">перевод на китайский,  английский  языки Правил проживания в общежитии,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 xml:space="preserve">• </w:t>
            </w: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встречи с руководством университета и общежития,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</w:tc>
        <w:tc>
          <w:tcPr>
            <w:tcW w:w="14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1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ОМС, заведующий общежитием, педагог-организатор общежития</w:t>
            </w:r>
          </w:p>
        </w:tc>
        <w:tc>
          <w:tcPr>
            <w:tcW w:w="16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szCs w:val="28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szCs w:val="28"/>
              </w:rPr>
            </w:r>
          </w:p>
        </w:tc>
      </w:tr>
      <w:tr>
        <w:trPr/>
        <w:tc>
          <w:tcPr>
            <w:tcW w:w="8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1.4</w:t>
            </w:r>
          </w:p>
        </w:tc>
        <w:tc>
          <w:tcPr>
            <w:tcW w:w="4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Организация культурно-досуговой деятельности иностранных граждан</w:t>
            </w:r>
          </w:p>
        </w:tc>
        <w:tc>
          <w:tcPr>
            <w:tcW w:w="42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1. Организация экскурсий для иностранных граждан по университету, г. Минску и Республике Беларусь.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 Вовлечение иностранных студентов в культурно-досуговую и спортивную жизнь университета, факультетов, общежития.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3. Вовлечение иностранных студентов в работу органов студенческого самоуправления.</w:t>
            </w:r>
          </w:p>
        </w:tc>
        <w:tc>
          <w:tcPr>
            <w:tcW w:w="14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1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 xml:space="preserve">ОВРМ, ОМС, Туристический клуб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</w:tc>
        <w:tc>
          <w:tcPr>
            <w:tcW w:w="16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szCs w:val="28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szCs w:val="28"/>
              </w:rPr>
            </w:r>
          </w:p>
        </w:tc>
      </w:tr>
    </w:tbl>
    <w:p>
      <w:pPr>
        <w:pStyle w:val="Normal"/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</w:pPr>
      <w:r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  <w:t>2. Психологическая адаптация и социально-педагогическая поддержка</w:t>
      </w:r>
    </w:p>
    <w:tbl>
      <w:tblPr>
        <w:tblStyle w:val="a3"/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9"/>
        <w:gridCol w:w="4565"/>
        <w:gridCol w:w="4252"/>
        <w:gridCol w:w="1592"/>
        <w:gridCol w:w="2109"/>
        <w:gridCol w:w="1478"/>
      </w:tblGrid>
      <w:tr>
        <w:trPr/>
        <w:tc>
          <w:tcPr>
            <w:tcW w:w="78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2.1</w:t>
            </w:r>
          </w:p>
        </w:tc>
        <w:tc>
          <w:tcPr>
            <w:tcW w:w="45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Разработка и организация мероприятий, направленных на развитие социально-психологической и личностной компетентности иностранных студентов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1. Психологическое консультирование иностранных студентов Индивидуальное и групповое консультирование по вопросам: организация учебной деятельности,  развитие коллектива, сплочение, организация жизнедеятельности, межличностных отношений, самопознание, саморазвитие, самовоспитание, а также психологическая поддержка  в кризисных ситуациях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 xml:space="preserve">2. Педагогическое консультирование. Индивидуальные и групповые беседы по вопросам организации учебной деятельности, досуга, социально-бытовым проблемам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3. Проведение групповых обучающих и ознакомительных мероприятий для иностранных студентов (тренинги, практические занятия, гостиные, семинары и т.п.) по проблемам адаптации, сессии, по вопросам пропаганды ЗОЖ.</w:t>
            </w:r>
          </w:p>
        </w:tc>
        <w:tc>
          <w:tcPr>
            <w:tcW w:w="15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Регулярно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Регулярно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Регулярно</w:t>
            </w:r>
          </w:p>
        </w:tc>
        <w:tc>
          <w:tcPr>
            <w:tcW w:w="2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Педагог-психолог  ОВРМ, ОМС, деканаты, преподаватели  русского языка как иностранного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</w:tc>
        <w:tc>
          <w:tcPr>
            <w:tcW w:w="14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szCs w:val="28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szCs w:val="28"/>
              </w:rPr>
            </w:r>
          </w:p>
        </w:tc>
      </w:tr>
      <w:tr>
        <w:trPr/>
        <w:tc>
          <w:tcPr>
            <w:tcW w:w="78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2.2</w:t>
            </w:r>
          </w:p>
        </w:tc>
        <w:tc>
          <w:tcPr>
            <w:tcW w:w="45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Профилактика состояний дезадаптации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Учет иностранных студентов склонных к девиантному поведению.</w:t>
            </w:r>
          </w:p>
        </w:tc>
        <w:tc>
          <w:tcPr>
            <w:tcW w:w="15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Регулярно</w:t>
            </w:r>
          </w:p>
        </w:tc>
        <w:tc>
          <w:tcPr>
            <w:tcW w:w="2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Социальный педагог ОВРМ, педагог-организатор общежития,  ОМС, деканаты</w:t>
            </w:r>
          </w:p>
        </w:tc>
        <w:tc>
          <w:tcPr>
            <w:tcW w:w="14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</w:tr>
      <w:tr>
        <w:trPr/>
        <w:tc>
          <w:tcPr>
            <w:tcW w:w="78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2.3</w:t>
            </w:r>
          </w:p>
        </w:tc>
        <w:tc>
          <w:tcPr>
            <w:tcW w:w="45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Организация и поддержание контакта с родственниками иностранных студентов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1.Обращение к родственникам в проблемных ситуациях.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 Направление в адрес родственников благодарственных писем за высокие достижения в учебе и участие в жизни университета, факультета.</w:t>
            </w:r>
          </w:p>
        </w:tc>
        <w:tc>
          <w:tcPr>
            <w:tcW w:w="15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2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ОМС, деканаты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</w:tc>
        <w:tc>
          <w:tcPr>
            <w:tcW w:w="14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szCs w:val="28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szCs w:val="28"/>
              </w:rPr>
            </w:r>
          </w:p>
        </w:tc>
      </w:tr>
      <w:tr>
        <w:trPr/>
        <w:tc>
          <w:tcPr>
            <w:tcW w:w="78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2.4</w:t>
            </w:r>
          </w:p>
        </w:tc>
        <w:tc>
          <w:tcPr>
            <w:tcW w:w="45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 xml:space="preserve">Профилактика правонарушений и нарушений Правил проживания в общежитии 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1. Ознакомление с Правилами проживания в общежитиях  обучающихся БГУФК как на русском, так и на родном для иностранных обучающихся языке.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 Организация бесед, лекций, встреч с работниками органов внутренних дел, юристами.</w:t>
            </w:r>
          </w:p>
        </w:tc>
        <w:tc>
          <w:tcPr>
            <w:tcW w:w="15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Постоянно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Регулярно</w:t>
            </w:r>
          </w:p>
        </w:tc>
        <w:tc>
          <w:tcPr>
            <w:tcW w:w="2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ОМС, ОВРМ</w:t>
            </w:r>
          </w:p>
        </w:tc>
        <w:tc>
          <w:tcPr>
            <w:tcW w:w="14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szCs w:val="28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szCs w:val="28"/>
              </w:rPr>
            </w:r>
          </w:p>
        </w:tc>
      </w:tr>
      <w:tr>
        <w:trPr/>
        <w:tc>
          <w:tcPr>
            <w:tcW w:w="78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2.5</w:t>
            </w:r>
          </w:p>
        </w:tc>
        <w:tc>
          <w:tcPr>
            <w:tcW w:w="45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Сотрудничество со специалистами медицинского пункта университета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1. Предоставление информационной помощи нуждающимся  в  услугах медицинской помощи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 Сопровождение в поликлинику.</w:t>
            </w:r>
          </w:p>
        </w:tc>
        <w:tc>
          <w:tcPr>
            <w:tcW w:w="15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 xml:space="preserve">  </w:t>
            </w: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Фельдшер медпункта БГКФК, кураторы учебных групп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</w:tc>
        <w:tc>
          <w:tcPr>
            <w:tcW w:w="14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szCs w:val="28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szCs w:val="28"/>
              </w:rPr>
            </w:r>
          </w:p>
        </w:tc>
      </w:tr>
      <w:tr>
        <w:trPr/>
        <w:tc>
          <w:tcPr>
            <w:tcW w:w="78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2.6</w:t>
            </w:r>
          </w:p>
        </w:tc>
        <w:tc>
          <w:tcPr>
            <w:tcW w:w="45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Консультации с ППС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Обсуждение проблемных вопросов, связанных с академической успеваемостью иностранных студентов, условиями их проживания в общежитии, посещаемостью учебных занятий, индивидуальным проблемам и трудностям.</w:t>
            </w:r>
          </w:p>
        </w:tc>
        <w:tc>
          <w:tcPr>
            <w:tcW w:w="15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Регулярно</w:t>
            </w:r>
          </w:p>
        </w:tc>
        <w:tc>
          <w:tcPr>
            <w:tcW w:w="2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ОМС, заведующие кафедрами,  деканы</w:t>
            </w:r>
          </w:p>
        </w:tc>
        <w:tc>
          <w:tcPr>
            <w:tcW w:w="14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szCs w:val="28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szCs w:val="28"/>
              </w:rPr>
            </w:r>
          </w:p>
        </w:tc>
      </w:tr>
      <w:tr>
        <w:trPr/>
        <w:tc>
          <w:tcPr>
            <w:tcW w:w="78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2.7</w:t>
            </w:r>
          </w:p>
        </w:tc>
        <w:tc>
          <w:tcPr>
            <w:tcW w:w="45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Организация и поддержание контакта с родственниками иностранных студентов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1.Обращение к родственникам в проблемных ситуациях.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 Направление в адрес родственников благодарственных писем за высокие достижения в учебе и участие в жизни университета, факультета.</w:t>
            </w:r>
          </w:p>
        </w:tc>
        <w:tc>
          <w:tcPr>
            <w:tcW w:w="15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2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ОМС, деканаты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</w:tc>
        <w:tc>
          <w:tcPr>
            <w:tcW w:w="14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szCs w:val="28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szCs w:val="28"/>
              </w:rPr>
            </w:r>
          </w:p>
        </w:tc>
      </w:tr>
      <w:tr>
        <w:trPr/>
        <w:tc>
          <w:tcPr>
            <w:tcW w:w="78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2.8</w:t>
            </w:r>
          </w:p>
        </w:tc>
        <w:tc>
          <w:tcPr>
            <w:tcW w:w="45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Поддержка молодежных проектов и инициатив</w:t>
            </w:r>
          </w:p>
        </w:tc>
        <w:tc>
          <w:tcPr>
            <w:tcW w:w="42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1.Оказание содействия молодежным проектам и инициативам, направленным на развитие коммуникативных и социальных связей белорусских и иностранных студентов.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 Оказание содействия молодежным проектам и инициативам иностранных студентов.</w:t>
            </w:r>
          </w:p>
        </w:tc>
        <w:tc>
          <w:tcPr>
            <w:tcW w:w="15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1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ОВРМ, ОМС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</w:tc>
        <w:tc>
          <w:tcPr>
            <w:tcW w:w="14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szCs w:val="28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szCs w:val="28"/>
              </w:rPr>
            </w:r>
          </w:p>
        </w:tc>
      </w:tr>
    </w:tbl>
    <w:p>
      <w:pPr>
        <w:pStyle w:val="Normal"/>
        <w:rPr>
          <w:rFonts w:cs="Times New Roman"/>
          <w:szCs w:val="28"/>
        </w:rPr>
      </w:pPr>
      <w:r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  <w:t>3. Межкультурная адаптация и взаимодействие</w:t>
      </w:r>
    </w:p>
    <w:tbl>
      <w:tblPr>
        <w:tblStyle w:val="a3"/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6"/>
        <w:gridCol w:w="4380"/>
        <w:gridCol w:w="4094"/>
        <w:gridCol w:w="2060"/>
        <w:gridCol w:w="2063"/>
        <w:gridCol w:w="1392"/>
      </w:tblGrid>
      <w:tr>
        <w:trPr/>
        <w:tc>
          <w:tcPr>
            <w:tcW w:w="7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3.1</w:t>
            </w:r>
          </w:p>
        </w:tc>
        <w:tc>
          <w:tcPr>
            <w:tcW w:w="43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Формирование толерантного отношения представителей зарубежных стран  к менталитету, культуре и национальной психологии страны их пребывания и обучения   – в Республике Беларусь</w:t>
            </w:r>
          </w:p>
        </w:tc>
        <w:tc>
          <w:tcPr>
            <w:tcW w:w="40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1. Организация экскурсий в историко-этнографический музей университета, музей истории университета с целью ознакомления иностранных граждан с историей, культурой и традициями белорусского народа.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 Организация встреч с представителями белорусской  науки и спорта, культуры.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3. Участие в студенческом проекте «Открытый молодежный микрофон»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</w:tc>
        <w:tc>
          <w:tcPr>
            <w:tcW w:w="20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Регулярно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</w:tc>
        <w:tc>
          <w:tcPr>
            <w:tcW w:w="20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ОВРМ,  ОМС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</w:tc>
        <w:tc>
          <w:tcPr>
            <w:tcW w:w="13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3.3</w:t>
            </w:r>
          </w:p>
        </w:tc>
        <w:tc>
          <w:tcPr>
            <w:tcW w:w="43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Формирование толерантного отношения к представителям зарубежных стран, укрепление духа интернационализма в БГУФК</w:t>
            </w:r>
          </w:p>
        </w:tc>
        <w:tc>
          <w:tcPr>
            <w:tcW w:w="40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1. Проведение мероприятий, отражающих национальные традиции, историю и культуру студентов зарубежья.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 Организация встреч с представителями зарубежных посольств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3. Организация  фотовыставок  в галерее «Стремление к гармонии»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4. Открытие Класса Конфуция</w:t>
            </w:r>
          </w:p>
        </w:tc>
        <w:tc>
          <w:tcPr>
            <w:tcW w:w="20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Регулярно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</w:tc>
        <w:tc>
          <w:tcPr>
            <w:tcW w:w="20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ОВРМ, ОМС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</w:tc>
        <w:tc>
          <w:tcPr>
            <w:tcW w:w="13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3.4</w:t>
            </w:r>
          </w:p>
        </w:tc>
        <w:tc>
          <w:tcPr>
            <w:tcW w:w="43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Формирование пространства межкультурного взаимодействия</w:t>
            </w:r>
          </w:p>
        </w:tc>
        <w:tc>
          <w:tcPr>
            <w:tcW w:w="40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Введение института кураторства белорусских студентов над иностранными гражданами, закрепление за группами вновь прибывших иностранных граждан белорусских студентов для ориентирования в городе, на факультете, в общежитии.</w:t>
            </w:r>
          </w:p>
        </w:tc>
        <w:tc>
          <w:tcPr>
            <w:tcW w:w="20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0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ОВРМ, ОМС, деканаты</w:t>
            </w:r>
          </w:p>
        </w:tc>
        <w:tc>
          <w:tcPr>
            <w:tcW w:w="13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3.5</w:t>
            </w:r>
          </w:p>
        </w:tc>
        <w:tc>
          <w:tcPr>
            <w:tcW w:w="43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Проведение тренингов, практических занятий, гостиных</w:t>
            </w:r>
          </w:p>
        </w:tc>
        <w:tc>
          <w:tcPr>
            <w:tcW w:w="40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Организация и проведение психологических и педагогических мероприятий по межкультурному взаимодействию для разнонациональных академических групп, а также для групп студентов, проживающих в общежитии.</w:t>
            </w:r>
          </w:p>
        </w:tc>
        <w:tc>
          <w:tcPr>
            <w:tcW w:w="20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0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ОВРМ, ОМС</w:t>
            </w:r>
          </w:p>
        </w:tc>
        <w:tc>
          <w:tcPr>
            <w:tcW w:w="13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3.6</w:t>
            </w:r>
          </w:p>
        </w:tc>
        <w:tc>
          <w:tcPr>
            <w:tcW w:w="43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Проведение спортивных мероприятий</w:t>
            </w:r>
          </w:p>
        </w:tc>
        <w:tc>
          <w:tcPr>
            <w:tcW w:w="40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1. Включение иностранных граждан в спортивные команды факультетов на общеуниверситетских соревнованиях.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 Организация и проведение мастер-классов по демонстрации национальных спортивных традиций.</w:t>
            </w:r>
          </w:p>
        </w:tc>
        <w:tc>
          <w:tcPr>
            <w:tcW w:w="20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0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Спортклуб,  ОМС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</w:tc>
        <w:tc>
          <w:tcPr>
            <w:tcW w:w="13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</w:tr>
    </w:tbl>
    <w:p>
      <w:pPr>
        <w:pStyle w:val="Normal"/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</w:pPr>
      <w:r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  <w:t>4. Мониторинг</w:t>
      </w:r>
    </w:p>
    <w:tbl>
      <w:tblPr>
        <w:tblStyle w:val="a3"/>
        <w:tblW w:w="147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"/>
        <w:gridCol w:w="4394"/>
        <w:gridCol w:w="4111"/>
        <w:gridCol w:w="1843"/>
        <w:gridCol w:w="2268"/>
        <w:gridCol w:w="1354"/>
      </w:tblGrid>
      <w:tr>
        <w:trPr/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4.1</w:t>
            </w:r>
          </w:p>
        </w:tc>
        <w:tc>
          <w:tcPr>
            <w:tcW w:w="43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Оценка успеваемости иностранных студентов в течение семестра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Оценка и анализ успеваемости иностранных студентов с целью повышения эффективности процесса обучения.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ОМС, заведующие кафедрами</w:t>
            </w:r>
          </w:p>
        </w:tc>
        <w:tc>
          <w:tcPr>
            <w:tcW w:w="13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</w:tr>
      <w:tr>
        <w:trPr/>
        <w:tc>
          <w:tcPr>
            <w:tcW w:w="8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4.2</w:t>
            </w:r>
          </w:p>
        </w:tc>
        <w:tc>
          <w:tcPr>
            <w:tcW w:w="43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Наблюдение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Наблюдение за психологическим состоянием иностранных студентов с целью выявления фактов дезадаптации.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ОМС, ОВРМ</w:t>
            </w:r>
          </w:p>
        </w:tc>
        <w:tc>
          <w:tcPr>
            <w:tcW w:w="13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</w:tr>
    </w:tbl>
    <w:p>
      <w:pPr>
        <w:pStyle w:val="Normal"/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</w:pPr>
      <w:r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  <w:t>5. Языковая адаптация</w:t>
      </w:r>
    </w:p>
    <w:tbl>
      <w:tblPr>
        <w:tblW w:w="15313" w:type="dxa"/>
        <w:jc w:val="left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32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780"/>
        <w:gridCol w:w="2729"/>
        <w:gridCol w:w="5704"/>
        <w:gridCol w:w="1844"/>
        <w:gridCol w:w="2265"/>
        <w:gridCol w:w="1990"/>
      </w:tblGrid>
      <w:tr>
        <w:trPr>
          <w:trHeight w:val="4661" w:hRule="atLeast"/>
        </w:trPr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spacing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5.1</w:t>
            </w:r>
          </w:p>
        </w:tc>
        <w:tc>
          <w:tcPr>
            <w:tcW w:w="2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spacing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Использование системы преподавания русского языка как иностранного (РКИ)</w:t>
            </w:r>
          </w:p>
        </w:tc>
        <w:tc>
          <w:tcPr>
            <w:tcW w:w="57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spacing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Разработка комплекса мероприятий по улучшению преподавания русского языка как иностранного, предусмотрев</w:t>
            </w:r>
          </w:p>
          <w:p>
            <w:pPr>
              <w:pStyle w:val="Normal"/>
              <w:spacing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1. Использование новых технологий в обучении РКИ.</w:t>
            </w:r>
          </w:p>
          <w:p>
            <w:pPr>
              <w:pStyle w:val="Normal"/>
              <w:spacing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2. Разработку и внедрение программ по русскому языку для иностранных студентов с учётом специфики факультетов.</w:t>
            </w:r>
          </w:p>
          <w:p>
            <w:pPr>
              <w:pStyle w:val="Normal"/>
              <w:spacing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3. Написание учебных пособий по русскому языку для иностранных студентов в соответствии с разработанными программами.</w:t>
            </w:r>
          </w:p>
          <w:p>
            <w:pPr>
              <w:pStyle w:val="Normal"/>
              <w:spacing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4. . Поддержание, обновление и развитие сайта БГУФК на английском и русском, китайском  языках.</w:t>
            </w:r>
          </w:p>
          <w:p>
            <w:pPr>
              <w:pStyle w:val="Normal"/>
              <w:spacing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5. Содействие обмену опытом специалистов, работающих с иностранными студентами</w:t>
            </w:r>
          </w:p>
        </w:tc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spacing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По плану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spacing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 xml:space="preserve">Преподаватели русского языка как иностранного, </w:t>
            </w:r>
          </w:p>
          <w:p>
            <w:pPr>
              <w:pStyle w:val="Normal"/>
              <w:spacing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ОМС</w:t>
            </w:r>
          </w:p>
        </w:tc>
        <w:tc>
          <w:tcPr>
            <w:tcW w:w="199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35" w:type="dxa"/>
            </w:tcMar>
          </w:tcPr>
          <w:p>
            <w:pPr>
              <w:pStyle w:val="Normal"/>
              <w:spacing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</w:tc>
      </w:tr>
    </w:tbl>
    <w:p>
      <w:pPr>
        <w:pStyle w:val="Normal"/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</w:pPr>
      <w:r>
        <w:rPr>
          <w:rFonts w:cs="Times New Roman"/>
          <w:szCs w:val="28"/>
        </w:rPr>
        <w:t xml:space="preserve">6. </w:t>
      </w:r>
      <w:r>
        <w:rPr>
          <w:rFonts w:cs="Times New Roman"/>
          <w:bCs/>
          <w:caps w:val="false"/>
          <w:smallCaps w:val="false"/>
          <w:color w:val="000000"/>
          <w:szCs w:val="28"/>
          <w:lang w:eastAsia="ru-RU"/>
        </w:rPr>
        <w:t>Научно-методическое сопровождение</w:t>
      </w:r>
    </w:p>
    <w:tbl>
      <w:tblPr>
        <w:tblStyle w:val="a3"/>
        <w:tblW w:w="15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2835"/>
        <w:gridCol w:w="5670"/>
        <w:gridCol w:w="1842"/>
        <w:gridCol w:w="2268"/>
        <w:gridCol w:w="1984"/>
      </w:tblGrid>
      <w:tr>
        <w:trPr/>
        <w:tc>
          <w:tcPr>
            <w:tcW w:w="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6.1</w:t>
            </w:r>
          </w:p>
        </w:tc>
        <w:tc>
          <w:tcPr>
            <w:tcW w:w="28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 xml:space="preserve">Содействие обмену опытом специалистов, работающих с </w:t>
            </w: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u w:val="single"/>
                <w:lang w:eastAsia="ru-RU"/>
              </w:rPr>
              <w:t>иностранными студентами</w:t>
            </w:r>
          </w:p>
        </w:tc>
        <w:tc>
          <w:tcPr>
            <w:tcW w:w="56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Организация и проведение научно-методической конференции по проблеме адаптации иностранных студентов.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r>
          </w:p>
        </w:tc>
        <w:tc>
          <w:tcPr>
            <w:tcW w:w="184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В течение  года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b w:val="false"/>
                <w:caps w:val="false"/>
                <w:smallCaps w:val="false"/>
                <w:color w:val="000000"/>
                <w:szCs w:val="28"/>
                <w:lang w:eastAsia="ru-RU"/>
              </w:rPr>
              <w:t>Отдел науки, ОМС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</w:tr>
    </w:tbl>
    <w:p>
      <w:pPr>
        <w:pStyle w:val="Normal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 w:val="false"/>
          <w:caps w:val="false"/>
          <w:smallCaps w:val="false"/>
          <w:szCs w:val="28"/>
        </w:rPr>
        <w:t xml:space="preserve">                                                                                        </w:t>
      </w:r>
    </w:p>
    <w:p>
      <w:pPr>
        <w:pStyle w:val="Normal"/>
        <w:spacing w:lineRule="auto" w:line="360"/>
        <w:jc w:val="both"/>
        <w:rPr>
          <w:rFonts w:cs="Times New Roman"/>
          <w:b w:val="false"/>
          <w:b w:val="false"/>
          <w:caps w:val="false"/>
          <w:smallCaps w:val="false"/>
          <w:szCs w:val="28"/>
        </w:rPr>
      </w:pPr>
      <w:r>
        <w:rPr>
          <w:rFonts w:cs="Times New Roman"/>
          <w:b w:val="false"/>
          <w:caps w:val="false"/>
          <w:smallCaps w:val="false"/>
          <w:szCs w:val="28"/>
        </w:rPr>
        <w:t>Начальник отдела по воспитательной работе с молодежью                                                           С.А.Василенко</w:t>
      </w:r>
    </w:p>
    <w:p>
      <w:pPr>
        <w:pStyle w:val="Normal"/>
        <w:spacing w:lineRule="auto" w:line="360"/>
        <w:jc w:val="both"/>
        <w:rPr>
          <w:rFonts w:cs="Times New Roman"/>
          <w:b w:val="false"/>
          <w:b w:val="false"/>
          <w:caps w:val="false"/>
          <w:smallCaps w:val="false"/>
          <w:szCs w:val="28"/>
        </w:rPr>
      </w:pPr>
      <w:r>
        <w:rPr>
          <w:rFonts w:cs="Times New Roman"/>
          <w:b w:val="false"/>
          <w:caps w:val="false"/>
          <w:smallCaps w:val="false"/>
          <w:szCs w:val="28"/>
        </w:rPr>
        <w:t>Начальник отдела международных связей                                                                                      О.Д.Бобрович</w:t>
      </w:r>
    </w:p>
    <w:p>
      <w:pPr>
        <w:pStyle w:val="Normal"/>
        <w:jc w:val="both"/>
        <w:rPr>
          <w:rFonts w:cs="Times New Roman"/>
          <w:b w:val="false"/>
          <w:b w:val="false"/>
          <w:szCs w:val="28"/>
        </w:rPr>
      </w:pPr>
      <w:r>
        <w:rPr>
          <w:rFonts w:cs="Times New Roman"/>
          <w:b w:val="false"/>
          <w:szCs w:val="28"/>
        </w:rPr>
      </w:r>
    </w:p>
    <w:p>
      <w:pPr>
        <w:pStyle w:val="Normal"/>
        <w:jc w:val="both"/>
        <w:rPr>
          <w:rFonts w:cs="Times New Roman"/>
          <w:b w:val="false"/>
          <w:b w:val="false"/>
          <w:szCs w:val="28"/>
        </w:rPr>
      </w:pPr>
      <w:r>
        <w:rPr>
          <w:rFonts w:cs="Times New Roman"/>
          <w:b w:val="false"/>
          <w:szCs w:val="28"/>
        </w:rPr>
      </w:r>
    </w:p>
    <w:p>
      <w:pPr>
        <w:pStyle w:val="Normal"/>
        <w:jc w:val="both"/>
        <w:rPr>
          <w:rFonts w:cs="Times New Roman"/>
          <w:b w:val="false"/>
          <w:b w:val="false"/>
          <w:szCs w:val="28"/>
        </w:rPr>
      </w:pPr>
      <w:r>
        <w:rPr>
          <w:rFonts w:cs="Times New Roman"/>
          <w:b w:val="false"/>
          <w:szCs w:val="28"/>
        </w:rPr>
      </w:r>
    </w:p>
    <w:p>
      <w:pPr>
        <w:pStyle w:val="Normal"/>
        <w:spacing w:before="0" w:after="12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850" w:footer="0" w:bottom="1701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4994"/>
    <w:pPr>
      <w:widowControl/>
      <w:bidi w:val="0"/>
      <w:spacing w:lineRule="auto" w:line="240" w:before="0" w:after="120"/>
      <w:jc w:val="center"/>
    </w:pPr>
    <w:rPr>
      <w:rFonts w:ascii="Times New Roman" w:hAnsi="Times New Roman" w:eastAsia="Calibri" w:cs="" w:cstheme="minorBidi" w:eastAsiaTheme="minorHAnsi"/>
      <w:b/>
      <w:caps/>
      <w:color w:val="auto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5499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1CE8-F143-42DF-939D-776BBC41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LibreOffice/5.0.4.2$Windows_x86 LibreOffice_project/2b9802c1994aa0b7dc6079e128979269cf95bc78</Application>
  <Paragraphs>157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2015-11-10T12:41:00Z</dcterms:created>
  <dc:creator>Светлана А. Василенко</dc:creator>
  <dc:language>ru-RU</dc:language>
  <cp:lastPrinted>2016-09-12T15:59:37Z</cp:lastPrinted>
  <dcterms:modified xsi:type="dcterms:W3CDTF">2016-09-12T16:02:43Z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