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E6" w:rsidRPr="00496823" w:rsidRDefault="0053220E" w:rsidP="00954FE6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FE6"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54FE6" w:rsidRPr="007D2187" w:rsidRDefault="00954FE6" w:rsidP="00954FE6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954FE6" w:rsidRPr="007D2187" w:rsidRDefault="00954FE6" w:rsidP="00954FE6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FE6" w:rsidRPr="007D2187" w:rsidRDefault="00954FE6" w:rsidP="00954FE6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:rsidR="0053220E" w:rsidRPr="007C524B" w:rsidRDefault="0053220E" w:rsidP="00954FE6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20E" w:rsidRPr="007C524B" w:rsidRDefault="00E34094" w:rsidP="0053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53220E" w:rsidRPr="007C524B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 xml:space="preserve">к зачету по учебной дисциплине </w:t>
      </w:r>
      <w:r>
        <w:rPr>
          <w:rFonts w:ascii="Times New Roman" w:hAnsi="Times New Roman" w:cs="Times New Roman"/>
          <w:b/>
          <w:bCs/>
          <w:sz w:val="28"/>
          <w:szCs w:val="28"/>
        </w:rPr>
        <w:t>«Маркетинг туризма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220E" w:rsidRPr="007C524B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24B">
        <w:rPr>
          <w:rFonts w:ascii="Times New Roman" w:hAnsi="Times New Roman" w:cs="Times New Roman"/>
          <w:b/>
          <w:bCs/>
          <w:sz w:val="28"/>
          <w:szCs w:val="28"/>
        </w:rPr>
        <w:t>для студентов 4 курса дневной формы получения образования направления специальности</w:t>
      </w:r>
    </w:p>
    <w:p w:rsidR="0053220E" w:rsidRPr="0053220E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0E">
        <w:rPr>
          <w:rFonts w:ascii="Times New Roman" w:hAnsi="Times New Roman" w:cs="Times New Roman"/>
          <w:b/>
          <w:sz w:val="28"/>
          <w:szCs w:val="28"/>
        </w:rPr>
        <w:t>1-89 02 01-02 Спортивно-туристская деятельность (менеджмент в туризме)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 xml:space="preserve"> на 2022/202</w:t>
      </w:r>
      <w:r w:rsidRPr="0053220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3220E" w:rsidRPr="007C524B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20E" w:rsidRPr="007C524B" w:rsidRDefault="0053220E" w:rsidP="0053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Понятие, цель и задачи маркетинговых исследований.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Принципы организации и проведения маркетинговых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маркетинговых исследований в деятельности организаций.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значение 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качественные характеристики маркетинговой информации.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источники </w:t>
      </w: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в зависимости от цели и задач.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виду используемой информации и источника финансирования.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месту и времени проведения.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характеристика процесса маркетингового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подготовки маркетингового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реализации маркетингового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плана маркетингового исследования.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управленческой проблемы.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Формулировка цели и задач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типа проекта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и виды опросов.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 и его роль в проведении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Фокус-групповые дискуссии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метод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Экспертные методы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Вопросник и порядок его разработки.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вопросов.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Измерения в маркетинговых исследованиях.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виды выборок.</w:t>
      </w:r>
    </w:p>
    <w:p w:rsidR="0053220E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выборки.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объема выборки.</w:t>
      </w:r>
    </w:p>
    <w:p w:rsidR="0053220E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 данных при проведении маркетинговых исследований.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и интерпретация данных по результатам маркетинговых исследований.</w:t>
      </w:r>
    </w:p>
    <w:p w:rsidR="0053220E" w:rsidRPr="007C524B" w:rsidRDefault="0053220E" w:rsidP="0053220E">
      <w:pPr>
        <w:tabs>
          <w:tab w:val="left" w:pos="34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Понятие, цель и задачи маркетинговых коммуникаций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целевой аудитории, параметры оценивания целевой аудитории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Основные представители целевых аудиторий компании 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Основные элементы комплекса маркетинговых коммуникаций.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Методы исчисления бюджета на проведение маркетинговых мероприятий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комплекса маркетинговых коммуникаций. Проблемы оценки эффективности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Применение инструментов маркетинговых коммуникаций на различных этапах жизненного цикла товара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Понятие рекламы. </w:t>
      </w:r>
      <w:r w:rsidRPr="007C524B">
        <w:rPr>
          <w:rFonts w:ascii="Times New Roman" w:hAnsi="Times New Roman"/>
          <w:bCs/>
          <w:color w:val="000000"/>
          <w:sz w:val="28"/>
          <w:szCs w:val="28"/>
        </w:rPr>
        <w:t>Составляющие эффективной рекламы.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bCs/>
          <w:color w:val="000000"/>
          <w:sz w:val="28"/>
          <w:szCs w:val="28"/>
        </w:rPr>
        <w:t>Сильные и слабые стороны рекламы по сравнению с другими элементами коммуникаций в маркетинге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Виды рекламы. </w:t>
      </w:r>
      <w:r w:rsidRPr="007C524B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7C524B">
        <w:rPr>
          <w:rFonts w:ascii="Times New Roman" w:hAnsi="Times New Roman"/>
          <w:sz w:val="28"/>
          <w:szCs w:val="28"/>
        </w:rPr>
        <w:t>сновные требования к рекламе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Наружная реклама: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газетах: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журналах: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радио: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телевидении: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транспорте: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Сувенирная реклама: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Интернет-реклама: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формирования рекламного бюджета.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оценки коммуникативной эффективности рекламной кампании.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стимулирования сбыта как вида маркетинговых коммуникаций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стимулирования сбыта.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Отличительные особенности мероприятий по стимулированию сбыта, достоинства и недостатки по сравнению с другими элементами комплекса маркетинговых коммуникаций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потребителей.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предприятий розничной торговли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персонала.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Приемы стимулирования деловых партнеров 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программы стимулирования сбыта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мероприятий по стимулированию сбыта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Выставки и ярмарки как способ коммуникационного воздействия на потребителя. 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выставочной деятельности. Классификация ярмарок и выставок.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Задачи участия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в выставочных мероприятиях. Этапы организации участия компании в выставке.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Отбор и подготовка персонала для работы на выставке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lastRenderedPageBreak/>
        <w:t>Разработка стендов организации с учетом выделенных площадей, виды выставочных стендов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ДМ-кампании. Одноступенчатые и многоступенчатые ДМ-кампании.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>Разработка ДМ-кампании. Оценка результатов ДМ-кампании</w:t>
      </w:r>
    </w:p>
    <w:p w:rsidR="0053220E" w:rsidRPr="007C524B" w:rsidRDefault="0053220E" w:rsidP="0053220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Преимущества и недостатки прямого маркетинга.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 xml:space="preserve">Каналы прямого маркетинга. </w:t>
      </w: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(прямая почтовая рассылка)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(рассылка по факсу и электронной почте)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(телефонный маркетинг)</w:t>
      </w:r>
    </w:p>
    <w:p w:rsidR="0053220E" w:rsidRPr="007C524B" w:rsidRDefault="0053220E" w:rsidP="0053220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Личные продажи: преимущества и недостатки. Стадии осуществления личной продажи.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личных продаж как элемента маркетинговых коммуникаций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ПР. Актуальность формирования общественного мнения.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связей с общественностью в коммуникационном взаимодействии организации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Формы коммуникаций с общественностью</w:t>
      </w:r>
      <w:r w:rsidRPr="007C524B">
        <w:rPr>
          <w:rFonts w:ascii="Times New Roman" w:hAnsi="Times New Roman"/>
          <w:caps/>
          <w:sz w:val="28"/>
          <w:szCs w:val="28"/>
        </w:rPr>
        <w:t xml:space="preserve">. </w:t>
      </w:r>
      <w:r w:rsidRPr="007C524B">
        <w:rPr>
          <w:rFonts w:ascii="Times New Roman" w:hAnsi="Times New Roman"/>
          <w:sz w:val="28"/>
          <w:szCs w:val="28"/>
        </w:rPr>
        <w:t>Установление и поддержание связей с прессой.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Связи с общественностью как элемент маркетинговых коммуникаций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Основные формы коммуникаций с общественностью</w:t>
      </w:r>
      <w:r w:rsidRPr="007C524B">
        <w:rPr>
          <w:rFonts w:ascii="Times New Roman" w:hAnsi="Times New Roman" w:cs="Times New Roman"/>
          <w:caps/>
          <w:sz w:val="28"/>
          <w:szCs w:val="28"/>
        </w:rPr>
        <w:t>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Формы взаимодействия со средствами массовой информации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Базовые документы по ПР.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Корпоративные PR-документы компании.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 пресс-релиза. Основные виды.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проведения ПР-кампании.</w:t>
      </w:r>
    </w:p>
    <w:p w:rsidR="0053220E" w:rsidRDefault="0053220E" w:rsidP="0053220E">
      <w:pPr>
        <w:rPr>
          <w:rFonts w:ascii="Times New Roman" w:hAnsi="Times New Roman" w:cs="Times New Roman"/>
          <w:sz w:val="28"/>
          <w:szCs w:val="28"/>
        </w:rPr>
      </w:pPr>
    </w:p>
    <w:p w:rsidR="00E34094" w:rsidRPr="00A85AE8" w:rsidRDefault="00E34094" w:rsidP="00E34094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от 13.09.2022  протокол №2. </w:t>
      </w:r>
    </w:p>
    <w:p w:rsidR="00E34094" w:rsidRPr="007C524B" w:rsidRDefault="00E34094" w:rsidP="0053220E">
      <w:pPr>
        <w:rPr>
          <w:rFonts w:ascii="Times New Roman" w:hAnsi="Times New Roman" w:cs="Times New Roman"/>
          <w:sz w:val="28"/>
          <w:szCs w:val="28"/>
        </w:rPr>
      </w:pPr>
    </w:p>
    <w:p w:rsidR="0078178D" w:rsidRDefault="0078178D"/>
    <w:sectPr w:rsidR="0078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3DE"/>
    <w:multiLevelType w:val="hybridMultilevel"/>
    <w:tmpl w:val="F3A4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E"/>
    <w:rsid w:val="000E5B2C"/>
    <w:rsid w:val="000F0A97"/>
    <w:rsid w:val="0053220E"/>
    <w:rsid w:val="0078178D"/>
    <w:rsid w:val="00954FE6"/>
    <w:rsid w:val="00E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8060-6F8C-49F2-A90D-2F58887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E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220E"/>
    <w:rPr>
      <w:b/>
      <w:bCs/>
    </w:rPr>
  </w:style>
  <w:style w:type="paragraph" w:customStyle="1" w:styleId="Style2">
    <w:name w:val="_Style 2"/>
    <w:uiPriority w:val="1"/>
    <w:qFormat/>
    <w:rsid w:val="0053220E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Normal (Web)"/>
    <w:basedOn w:val="a"/>
    <w:rsid w:val="005322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Екатерина О. Гончарова</cp:lastModifiedBy>
  <cp:revision>4</cp:revision>
  <dcterms:created xsi:type="dcterms:W3CDTF">2022-10-11T11:25:00Z</dcterms:created>
  <dcterms:modified xsi:type="dcterms:W3CDTF">2022-10-11T11:33:00Z</dcterms:modified>
</cp:coreProperties>
</file>