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E5" w:rsidRPr="00496823" w:rsidRDefault="00FB60E5" w:rsidP="00FB60E5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B60E5" w:rsidRPr="007D2187" w:rsidRDefault="00FB60E5" w:rsidP="00FB60E5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FB60E5" w:rsidRPr="007D2187" w:rsidRDefault="00FB60E5" w:rsidP="00FB60E5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60E5" w:rsidRPr="007D2187" w:rsidRDefault="00FB60E5" w:rsidP="00FB60E5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</w:p>
    <w:p w:rsidR="005616A2" w:rsidRPr="007C524B" w:rsidRDefault="005616A2" w:rsidP="00FB60E5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6A2" w:rsidRPr="007C524B" w:rsidRDefault="00FB60E5" w:rsidP="00561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5616A2" w:rsidRPr="007C524B" w:rsidRDefault="005616A2" w:rsidP="00561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экзамену</w:t>
      </w:r>
      <w:r w:rsidRPr="007C524B"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 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>«Маркетинг спорта»</w:t>
      </w:r>
    </w:p>
    <w:p w:rsidR="005616A2" w:rsidRPr="007C524B" w:rsidRDefault="005616A2" w:rsidP="00561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5 курса заочной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формы получения образования направления специальности</w:t>
      </w:r>
    </w:p>
    <w:p w:rsidR="005616A2" w:rsidRPr="007C524B" w:rsidRDefault="005616A2" w:rsidP="00561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24B">
        <w:rPr>
          <w:rFonts w:ascii="Times New Roman" w:hAnsi="Times New Roman" w:cs="Times New Roman"/>
          <w:b/>
          <w:sz w:val="28"/>
          <w:szCs w:val="28"/>
        </w:rPr>
        <w:t>1-88 02 01-02 Спортивно-педагогическая деятельность (менеджмент в спорте)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127C21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27C21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bookmarkStart w:id="0" w:name="_GoBack"/>
      <w:bookmarkEnd w:id="0"/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616A2" w:rsidRPr="007C524B" w:rsidRDefault="005616A2" w:rsidP="00561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A2" w:rsidRPr="007C524B" w:rsidRDefault="005616A2" w:rsidP="0056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Понятие, цель и задачи маркетинговых исследований.</w:t>
      </w:r>
    </w:p>
    <w:p w:rsidR="005616A2" w:rsidRPr="00080366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Принципы организации и проведения маркетинговых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направления маркетинговых исследований.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 маркетинговых исследований в деятельности организаций.</w:t>
      </w:r>
    </w:p>
    <w:p w:rsidR="005616A2" w:rsidRPr="00080366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значение маркетинговой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качественные характеристики маркетинговой информации.</w:t>
      </w:r>
    </w:p>
    <w:p w:rsidR="005616A2" w:rsidRPr="00080366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источники </w:t>
      </w: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маркетинговой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в зависимости от цели и задач.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по виду используемой информации и источника финансирования.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по месту и времени проведения.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Общая характеристика процесса маркетингового исследования.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подготовки маркетингового исследования.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реализации маркетингового исследования.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Разработка плана маркетингового исследования.</w:t>
      </w:r>
    </w:p>
    <w:p w:rsidR="005616A2" w:rsidRPr="00080366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управленческой проблемы.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Формулировка цели и задач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типа проекта исследования.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и виды опросов.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 и его роль в проведении маркетинговых исследований.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Фокус-групповые дискуссии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метод маркетинговых исследований.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Экспертные методы маркетинговых исследований.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Вопросник и порядок его разработки.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вопросов.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Измерения в маркетинговых исследованиях.</w:t>
      </w:r>
    </w:p>
    <w:p w:rsidR="005616A2" w:rsidRPr="003C7878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виды выборок.</w:t>
      </w:r>
    </w:p>
    <w:p w:rsidR="005616A2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Планирование выборки.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объема выборки.</w:t>
      </w:r>
    </w:p>
    <w:p w:rsidR="005616A2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Сбор данных при проведении маркетинговых исследований.</w:t>
      </w:r>
    </w:p>
    <w:p w:rsidR="005616A2" w:rsidRDefault="005616A2" w:rsidP="005616A2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и интерпретация данных по результатам маркетинговых исследований.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Экономические отношения в сфере физической культуры и спорта.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Экономические законы в сфере физической культуры и спорта.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Состояние и перспективы экономической деятельности в организациях физической культуры и спорта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Экономический анализ деятельности организаций физической культуры и спорта.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Показатели эффективности экономической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организаций физической культуры и спорта.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Методы оценки эффективности экономической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организаций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источника финансирования</w:t>
      </w:r>
      <w:r w:rsidRPr="00F143D3">
        <w:t xml:space="preserve"> </w:t>
      </w: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организаций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доходов и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организаций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Источники внебюджетного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организаций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Коммерческая деятельность организаций физической культуры и спорта.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Спортивная интернет-экономика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Самофинансирование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сфере </w:t>
      </w: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физической культуре и спорте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и характеристика ресурсов</w:t>
      </w:r>
      <w:r w:rsidRPr="00F143D3">
        <w:t xml:space="preserve"> </w:t>
      </w: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организаций физической культуры и спорта.</w:t>
      </w:r>
    </w:p>
    <w:p w:rsid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 финансового и материально-технического обеспечения организаций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спортивной индустрии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Общая характеристика и классификация физкультурно-спортивных сооружений.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Финансовая деятельность и бюджетирование</w:t>
      </w:r>
      <w:r w:rsidRPr="00F143D3">
        <w:t xml:space="preserve"> </w:t>
      </w: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организаций физической культуры и спорта.</w:t>
      </w:r>
    </w:p>
    <w:p w:rsid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Методика расчета коэффициента загруженности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физкультурно-спортивных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Методика оценки текущей стоимости профессионального спортсмена. 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Универсальный алгоритм рейтинговой оценки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стоимости </w:t>
      </w: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профессионального спортсмена.</w:t>
      </w:r>
    </w:p>
    <w:p w:rsidR="00F143D3" w:rsidRPr="00F143D3" w:rsidRDefault="00F143D3" w:rsidP="00F143D3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Рейтинговый и аналоговый метод оценки текущей стоимости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профессионального спортсмена.</w:t>
      </w:r>
    </w:p>
    <w:p w:rsidR="005616A2" w:rsidRPr="00F143D3" w:rsidRDefault="00F143D3" w:rsidP="00B15C6A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 эффективности инвестиций в сфере физической культуры и спорта.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Понятие, цель и задачи маркетинговых коммуникаций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целевой аудитории, параметры оценивания целевой аудитории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Основные представители целевых аудиторий компании 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Основные элементы комплекса маркетинговых коммуникаций.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Методы исчисления бюджета на проведение маркетинговых мероприятий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lastRenderedPageBreak/>
        <w:t>Оценка эффективности комплекса маркетинговых коммуникаций. Проблемы оценки эффективности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Применение инструментов маркетинговых коммуникаций на различных этапах жизненного цикла товара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bCs/>
          <w:color w:val="00000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Понятие рекламы. </w:t>
      </w:r>
      <w:r w:rsidRPr="007C524B">
        <w:rPr>
          <w:rFonts w:ascii="Times New Roman" w:hAnsi="Times New Roman"/>
          <w:bCs/>
          <w:color w:val="000000"/>
          <w:sz w:val="28"/>
          <w:szCs w:val="28"/>
        </w:rPr>
        <w:t>Составляющие эффективной рекламы.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bCs/>
          <w:color w:val="000000"/>
          <w:sz w:val="28"/>
          <w:szCs w:val="28"/>
        </w:rPr>
      </w:pPr>
      <w:r w:rsidRPr="007C524B">
        <w:rPr>
          <w:rFonts w:ascii="Times New Roman" w:hAnsi="Times New Roman"/>
          <w:bCs/>
          <w:color w:val="000000"/>
          <w:sz w:val="28"/>
          <w:szCs w:val="28"/>
        </w:rPr>
        <w:t>Сильные и слабые стороны рекламы по сравнению с другими элементами коммуникаций в маркетинге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Виды рекламы. </w:t>
      </w:r>
      <w:r w:rsidRPr="007C524B">
        <w:rPr>
          <w:rStyle w:val="a3"/>
          <w:rFonts w:ascii="Times New Roman" w:hAnsi="Times New Roman"/>
          <w:b w:val="0"/>
          <w:sz w:val="28"/>
          <w:szCs w:val="28"/>
        </w:rPr>
        <w:t>О</w:t>
      </w:r>
      <w:r w:rsidRPr="007C524B">
        <w:rPr>
          <w:rFonts w:ascii="Times New Roman" w:hAnsi="Times New Roman"/>
          <w:sz w:val="28"/>
          <w:szCs w:val="28"/>
        </w:rPr>
        <w:t>сновные требования к рекламе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Наружная реклама: достоинства и недостатки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в газетах: достоинства и недостатки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в журналах: достоинства и недостатки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радио: достоинства и недостатки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телевидении: достоинства и недостатки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транспорте: достоинства и недостатки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Сувенирная реклама: достоинства и недостатки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Интернет-реклама: достоинства и недостатки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Методы формирования рекламного бюджета.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Методы оценки коммуникативной эффективности рекламной кампании.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Роль стимулирования сбыта как вида маркетинговых коммуникаций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Цели и задачи стимулирования сбыта.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Отличительные особенности мероприятий по стимулированию сбыта, достоинства и недостатки по сравнению с другими элементами комплекса маркетинговых коммуникаций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потребителей.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предприятий розничной торговли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персонала.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Приемы стимулирования деловых партнеров 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Этапы программы стимулирования сбыта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Оценка эффективности мероприятий по стимулированию сбыта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Выставки и ярмарки как способ коммуникационного воздействия на потребителя. 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выставочной деятельности. Классификация ярмарок и выставок.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Задачи участия </w:t>
      </w:r>
      <w:r w:rsidRPr="007C524B">
        <w:rPr>
          <w:rStyle w:val="a3"/>
          <w:rFonts w:ascii="Times New Roman" w:hAnsi="Times New Roman" w:cs="Times New Roman"/>
          <w:b w:val="0"/>
          <w:sz w:val="28"/>
          <w:szCs w:val="28"/>
        </w:rPr>
        <w:t>в выставочных мероприятиях. Этапы организации участия компании в выставке.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Отбор и подготовка персонала для работы на выставке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Разработка стендов организации с учетом выделенных площадей, виды выставочных стендов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ДМ-кампании. Одноступенчатые и многоступенчатые ДМ-кампании.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7C524B">
        <w:rPr>
          <w:rStyle w:val="a3"/>
          <w:rFonts w:ascii="Times New Roman" w:hAnsi="Times New Roman"/>
          <w:b w:val="0"/>
          <w:sz w:val="28"/>
          <w:szCs w:val="28"/>
        </w:rPr>
        <w:t>Разработка ДМ-кампании. Оценка результатов ДМ-кампании</w:t>
      </w:r>
    </w:p>
    <w:p w:rsidR="005616A2" w:rsidRPr="007C524B" w:rsidRDefault="005616A2" w:rsidP="005616A2">
      <w:pPr>
        <w:pStyle w:val="a4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C524B">
        <w:rPr>
          <w:rStyle w:val="a3"/>
          <w:b w:val="0"/>
          <w:sz w:val="28"/>
          <w:szCs w:val="28"/>
        </w:rPr>
        <w:t>Преимущества и недостатки прямого маркетинга.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Style w:val="a3"/>
          <w:rFonts w:ascii="Times New Roman" w:hAnsi="Times New Roman"/>
          <w:b w:val="0"/>
          <w:sz w:val="28"/>
          <w:szCs w:val="28"/>
        </w:rPr>
        <w:t xml:space="preserve">Каналы прямого маркетинга. </w:t>
      </w: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lastRenderedPageBreak/>
        <w:t>Особенности и возможности отдельных инструментов прямого маркетинга (прямая почтовая рассылка)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(рассылка по факсу и электронной почте)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(телефонный маркетинг)</w:t>
      </w:r>
    </w:p>
    <w:p w:rsidR="005616A2" w:rsidRPr="007C524B" w:rsidRDefault="005616A2" w:rsidP="005616A2">
      <w:pPr>
        <w:pStyle w:val="a4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C524B">
        <w:rPr>
          <w:rStyle w:val="a3"/>
          <w:b w:val="0"/>
          <w:sz w:val="28"/>
          <w:szCs w:val="28"/>
        </w:rPr>
        <w:t>Личные продажи: преимущества и недостатки. Стадии осуществления личной продажи.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Цели и задачи личных продаж как элемента маркетинговых коммуникаций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ПР. Актуальность формирования общественного мнения.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Роль связей с общественностью в коммуникационном взаимодействии организации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Формы коммуникаций с общественностью</w:t>
      </w:r>
      <w:r w:rsidRPr="007C524B">
        <w:rPr>
          <w:rFonts w:ascii="Times New Roman" w:hAnsi="Times New Roman"/>
          <w:caps/>
          <w:sz w:val="28"/>
          <w:szCs w:val="28"/>
        </w:rPr>
        <w:t xml:space="preserve">. </w:t>
      </w:r>
      <w:r w:rsidRPr="007C524B">
        <w:rPr>
          <w:rFonts w:ascii="Times New Roman" w:hAnsi="Times New Roman"/>
          <w:sz w:val="28"/>
          <w:szCs w:val="28"/>
        </w:rPr>
        <w:t>Установление и поддержание связей с прессой.</w:t>
      </w:r>
    </w:p>
    <w:p w:rsidR="005616A2" w:rsidRPr="007C524B" w:rsidRDefault="005616A2" w:rsidP="005616A2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Связи с общественностью как элемент маркетинговых коммуникаций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Основные формы коммуникаций с общественностью</w:t>
      </w:r>
      <w:r w:rsidRPr="007C524B">
        <w:rPr>
          <w:rFonts w:ascii="Times New Roman" w:hAnsi="Times New Roman" w:cs="Times New Roman"/>
          <w:caps/>
          <w:sz w:val="28"/>
          <w:szCs w:val="28"/>
        </w:rPr>
        <w:t>.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Формы взаимодействия со средствами массовой информации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Базовые документы по ПР. </w:t>
      </w:r>
      <w:r w:rsidRPr="007C524B">
        <w:rPr>
          <w:rStyle w:val="a3"/>
          <w:rFonts w:ascii="Times New Roman" w:hAnsi="Times New Roman" w:cs="Times New Roman"/>
          <w:b w:val="0"/>
          <w:sz w:val="28"/>
          <w:szCs w:val="28"/>
        </w:rPr>
        <w:t>Корпоративные PR-документы компании.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Понятие пресс-релиза. Основные виды.</w:t>
      </w:r>
    </w:p>
    <w:p w:rsidR="005616A2" w:rsidRPr="007C524B" w:rsidRDefault="005616A2" w:rsidP="005616A2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Этапы проведения ПР-кампании.</w:t>
      </w:r>
    </w:p>
    <w:p w:rsidR="005616A2" w:rsidRPr="007C524B" w:rsidRDefault="005616A2" w:rsidP="005616A2">
      <w:pPr>
        <w:rPr>
          <w:rFonts w:ascii="Times New Roman" w:hAnsi="Times New Roman" w:cs="Times New Roman"/>
          <w:sz w:val="28"/>
          <w:szCs w:val="28"/>
        </w:rPr>
      </w:pPr>
    </w:p>
    <w:p w:rsidR="005616A2" w:rsidRDefault="005616A2" w:rsidP="005616A2">
      <w:pPr>
        <w:spacing w:before="240"/>
        <w:ind w:left="720"/>
        <w:jc w:val="both"/>
      </w:pPr>
    </w:p>
    <w:p w:rsidR="00127C21" w:rsidRPr="00A85AE8" w:rsidRDefault="00127C21" w:rsidP="00127C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3F7D3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5.09.2023г. протокол №</w:t>
      </w:r>
      <w:r w:rsidRPr="00B019B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16A2" w:rsidRPr="00127C21" w:rsidRDefault="005616A2" w:rsidP="005616A2">
      <w:pPr>
        <w:rPr>
          <w:lang w:val="ru-RU"/>
        </w:rPr>
      </w:pPr>
    </w:p>
    <w:p w:rsidR="0078178D" w:rsidRDefault="0078178D"/>
    <w:sectPr w:rsidR="0078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63DE"/>
    <w:multiLevelType w:val="hybridMultilevel"/>
    <w:tmpl w:val="F3A4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A2"/>
    <w:rsid w:val="0012322B"/>
    <w:rsid w:val="00127C21"/>
    <w:rsid w:val="005616A2"/>
    <w:rsid w:val="0078178D"/>
    <w:rsid w:val="0082443A"/>
    <w:rsid w:val="008B51FC"/>
    <w:rsid w:val="00F143D3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D159"/>
  <w15:chartTrackingRefBased/>
  <w15:docId w15:val="{8C6086DB-71F1-45A3-BF95-7DB4C793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A2"/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16A2"/>
    <w:rPr>
      <w:b/>
      <w:bCs/>
    </w:rPr>
  </w:style>
  <w:style w:type="paragraph" w:customStyle="1" w:styleId="Style2">
    <w:name w:val="_Style 2"/>
    <w:uiPriority w:val="1"/>
    <w:qFormat/>
    <w:rsid w:val="005616A2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Normal (Web)"/>
    <w:basedOn w:val="a"/>
    <w:rsid w:val="005616A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FC"/>
    <w:rPr>
      <w:rFonts w:ascii="Segoe UI" w:hAnsi="Segoe UI" w:cs="Segoe UI"/>
      <w:sz w:val="18"/>
      <w:szCs w:val="18"/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Марина С. Коваленко</cp:lastModifiedBy>
  <cp:revision>2</cp:revision>
  <cp:lastPrinted>2023-09-13T11:44:00Z</cp:lastPrinted>
  <dcterms:created xsi:type="dcterms:W3CDTF">2023-09-13T11:45:00Z</dcterms:created>
  <dcterms:modified xsi:type="dcterms:W3CDTF">2023-09-13T11:45:00Z</dcterms:modified>
</cp:coreProperties>
</file>