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2D70" w14:textId="4B321A3C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  <w:r w:rsidRPr="006D1830">
        <w:rPr>
          <w:rFonts w:cs="Times New Roman"/>
          <w:sz w:val="30"/>
          <w:szCs w:val="30"/>
        </w:rPr>
        <w:t>УЧРЕЖДЕНИЕ ОБРАЗОВАНИЯ</w:t>
      </w:r>
    </w:p>
    <w:p w14:paraId="3189E62C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  <w:r w:rsidRPr="006D1830">
        <w:rPr>
          <w:rFonts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12500093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2232D208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12B05374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117E34C1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50ECF565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5CFA8375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5BABD211" w14:textId="4C95E4FB" w:rsidR="00D65BE4" w:rsidRPr="004D1E93" w:rsidRDefault="004D7614" w:rsidP="004D7614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34BDE734" w14:textId="11FD7A26" w:rsidR="00D65BE4" w:rsidRDefault="00D65BE4" w:rsidP="004D7614">
      <w:pPr>
        <w:ind w:firstLine="0"/>
        <w:jc w:val="center"/>
        <w:rPr>
          <w:sz w:val="30"/>
          <w:szCs w:val="30"/>
        </w:rPr>
      </w:pPr>
      <w:r w:rsidRPr="002770DE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Основы теории и методики избранного вида</w:t>
      </w:r>
      <w:r w:rsidRPr="002770DE">
        <w:rPr>
          <w:sz w:val="30"/>
          <w:szCs w:val="30"/>
        </w:rPr>
        <w:t xml:space="preserve"> спорта»</w:t>
      </w:r>
      <w:r w:rsidR="004D7614">
        <w:rPr>
          <w:sz w:val="30"/>
          <w:szCs w:val="30"/>
        </w:rPr>
        <w:t xml:space="preserve"> </w:t>
      </w:r>
      <w:r w:rsidRPr="002770DE">
        <w:rPr>
          <w:sz w:val="30"/>
          <w:szCs w:val="30"/>
        </w:rPr>
        <w:t xml:space="preserve">для направления специальности 1-88 02 01-01 </w:t>
      </w:r>
    </w:p>
    <w:p w14:paraId="745B9499" w14:textId="6B46FEE6" w:rsidR="00D65BE4" w:rsidRDefault="00D65BE4" w:rsidP="00D65BE4">
      <w:pPr>
        <w:ind w:firstLine="0"/>
        <w:jc w:val="center"/>
        <w:rPr>
          <w:sz w:val="30"/>
          <w:szCs w:val="30"/>
        </w:rPr>
      </w:pPr>
      <w:r w:rsidRPr="002770DE">
        <w:rPr>
          <w:sz w:val="30"/>
          <w:szCs w:val="30"/>
        </w:rPr>
        <w:t xml:space="preserve">«Спортивно-педагогическая деятельность </w:t>
      </w:r>
      <w:r w:rsidRPr="002770DE">
        <w:rPr>
          <w:sz w:val="30"/>
          <w:szCs w:val="30"/>
        </w:rPr>
        <w:br/>
        <w:t xml:space="preserve">(тренерская работа по </w:t>
      </w:r>
      <w:r w:rsidR="004D7614">
        <w:rPr>
          <w:sz w:val="30"/>
          <w:szCs w:val="30"/>
        </w:rPr>
        <w:t>гандболу</w:t>
      </w:r>
      <w:r w:rsidRPr="002770DE">
        <w:rPr>
          <w:sz w:val="30"/>
          <w:szCs w:val="30"/>
        </w:rPr>
        <w:t>)»</w:t>
      </w:r>
      <w:r>
        <w:rPr>
          <w:sz w:val="30"/>
          <w:szCs w:val="30"/>
        </w:rPr>
        <w:t xml:space="preserve"> для студентов третьего курса </w:t>
      </w:r>
      <w:r w:rsidRPr="004D1E93">
        <w:rPr>
          <w:sz w:val="30"/>
          <w:szCs w:val="30"/>
        </w:rPr>
        <w:t xml:space="preserve">заочной формы получения образования </w:t>
      </w:r>
    </w:p>
    <w:p w14:paraId="2867F305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36E2DFE8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38B49FFF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046AD5E1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119BBCDB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1EA8E62B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5092B379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26FBF71C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 w:rsidRPr="006D1830">
        <w:rPr>
          <w:rFonts w:cs="Times New Roman"/>
          <w:sz w:val="30"/>
          <w:szCs w:val="30"/>
        </w:rPr>
        <w:t>УТВЕРЖДЕНЫ</w:t>
      </w:r>
    </w:p>
    <w:p w14:paraId="2B43B1F5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  <w:t>н</w:t>
      </w:r>
      <w:r w:rsidRPr="006D1830">
        <w:rPr>
          <w:rFonts w:cs="Times New Roman"/>
          <w:sz w:val="30"/>
          <w:szCs w:val="30"/>
        </w:rPr>
        <w:t>а заседании кафедры спортивных игр</w:t>
      </w:r>
    </w:p>
    <w:p w14:paraId="5F0ED41A" w14:textId="0770EB3F" w:rsidR="00D65BE4" w:rsidRPr="004D7614" w:rsidRDefault="00D65BE4" w:rsidP="00D65BE4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 w:rsidRPr="004D7614">
        <w:rPr>
          <w:rFonts w:cs="Times New Roman"/>
          <w:sz w:val="30"/>
          <w:szCs w:val="30"/>
        </w:rPr>
        <w:t>протокол № 02 от 12 сентября 2023</w:t>
      </w:r>
      <w:r w:rsidR="004D7614">
        <w:rPr>
          <w:rFonts w:cs="Times New Roman"/>
          <w:sz w:val="30"/>
          <w:szCs w:val="30"/>
        </w:rPr>
        <w:t xml:space="preserve"> </w:t>
      </w:r>
      <w:r w:rsidRPr="004D7614">
        <w:rPr>
          <w:rFonts w:cs="Times New Roman"/>
          <w:sz w:val="30"/>
          <w:szCs w:val="30"/>
        </w:rPr>
        <w:t>г.</w:t>
      </w:r>
    </w:p>
    <w:p w14:paraId="56EBC9F4" w14:textId="47C78FD0" w:rsidR="00D65BE4" w:rsidRPr="006D1830" w:rsidRDefault="00D65BE4" w:rsidP="00D65BE4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</w:p>
    <w:p w14:paraId="2EAF6DAF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1B0F9676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400BF613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25EBFC23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69349E42" w14:textId="77777777" w:rsidR="00D65BE4" w:rsidRPr="006D1830" w:rsidRDefault="00D65BE4" w:rsidP="00D65BE4">
      <w:pPr>
        <w:rPr>
          <w:rFonts w:cs="Times New Roman"/>
          <w:sz w:val="30"/>
          <w:szCs w:val="30"/>
        </w:rPr>
      </w:pPr>
    </w:p>
    <w:p w14:paraId="22A83820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2A7DD78D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38C31158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2E7D1DA2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10E6A054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7AA16D23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1DE4C184" w14:textId="77777777" w:rsidR="00D65BE4" w:rsidRPr="006D1830" w:rsidRDefault="00D65BE4" w:rsidP="00D65BE4">
      <w:pPr>
        <w:jc w:val="center"/>
        <w:rPr>
          <w:rFonts w:cs="Times New Roman"/>
          <w:sz w:val="30"/>
          <w:szCs w:val="30"/>
        </w:rPr>
      </w:pPr>
    </w:p>
    <w:p w14:paraId="386D07F3" w14:textId="77777777" w:rsidR="004D7614" w:rsidRDefault="004D7614">
      <w:pPr>
        <w:spacing w:after="160" w:line="259" w:lineRule="auto"/>
        <w:ind w:firstLine="0"/>
        <w:contextualSpacing w:val="0"/>
        <w:jc w:val="left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br w:type="page"/>
      </w:r>
    </w:p>
    <w:p w14:paraId="6BE0AAB6" w14:textId="49D6C6F3" w:rsidR="00D65BE4" w:rsidRDefault="004D7614" w:rsidP="00D65BE4">
      <w:pPr>
        <w:jc w:val="center"/>
        <w:rPr>
          <w:rFonts w:cs="Times New Roman"/>
          <w:b/>
          <w:bCs/>
          <w:sz w:val="30"/>
          <w:szCs w:val="30"/>
        </w:rPr>
      </w:pPr>
      <w:r w:rsidRPr="004D7614">
        <w:rPr>
          <w:rFonts w:cs="Times New Roman"/>
          <w:b/>
          <w:bCs/>
          <w:sz w:val="30"/>
          <w:szCs w:val="30"/>
        </w:rPr>
        <w:lastRenderedPageBreak/>
        <w:t>Зачетные требования</w:t>
      </w:r>
    </w:p>
    <w:p w14:paraId="4F9B31AB" w14:textId="77777777" w:rsidR="004D7614" w:rsidRPr="004D7614" w:rsidRDefault="004D7614" w:rsidP="00D65BE4">
      <w:pPr>
        <w:jc w:val="center"/>
        <w:rPr>
          <w:rFonts w:cs="Times New Roman"/>
          <w:b/>
          <w:bCs/>
          <w:sz w:val="30"/>
          <w:szCs w:val="30"/>
        </w:rPr>
      </w:pPr>
    </w:p>
    <w:p w14:paraId="2501E614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Правила безопасности при занятиях гандболом; причины возникновения травм.</w:t>
      </w:r>
    </w:p>
    <w:p w14:paraId="54E45EB6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гандбола; гандбол в Республике Беларусь.</w:t>
      </w:r>
    </w:p>
    <w:p w14:paraId="581256F7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Методика судейства в гандболе; последние изменения правил игры и их современная интерпретация.</w:t>
      </w:r>
    </w:p>
    <w:p w14:paraId="529F1C51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Место спортивных соревнований в учебно-тренировочном процессе и их классификация.</w:t>
      </w:r>
    </w:p>
    <w:p w14:paraId="3D0E406B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Современные правила игры, их значение и объективная необходимость.</w:t>
      </w:r>
    </w:p>
    <w:p w14:paraId="66CA1F69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Классификация упражнений в гандболе.</w:t>
      </w:r>
    </w:p>
    <w:p w14:paraId="7323F77A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Характеристика упражнений, как основных средств воспитания специальных физических качеств у гандболистов.</w:t>
      </w:r>
    </w:p>
    <w:p w14:paraId="45D9F895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Классификация техники игры в гандболе. Понятия и принципы деления на «разделы», «группы», «приемы», «способы», «разновидности».</w:t>
      </w:r>
    </w:p>
    <w:p w14:paraId="5622504F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Фазовая структура технических приемов: подготовительная, основная, завершающая фазы двигательного действия.</w:t>
      </w:r>
    </w:p>
    <w:p w14:paraId="7D6FBAEA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Теоретические основы тактики гандбола, определение понятий «стратегия», «тактика»; формы ведения спортивной борьбы.</w:t>
      </w:r>
    </w:p>
    <w:p w14:paraId="4262A981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Классификация тактики игры в гандболе. Определения понятий – «стратегия», «тактика», «комбинация».</w:t>
      </w:r>
    </w:p>
    <w:p w14:paraId="5E0D9580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Специальные физические качества гандболистов, методы их развития.</w:t>
      </w:r>
    </w:p>
    <w:p w14:paraId="4A2D2EF5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 xml:space="preserve">Средства физического воспитания, применяемые </w:t>
      </w:r>
      <w:proofErr w:type="gramStart"/>
      <w:r w:rsidRPr="006D1830">
        <w:rPr>
          <w:rFonts w:ascii="Times New Roman" w:hAnsi="Times New Roman" w:cs="Times New Roman"/>
          <w:sz w:val="24"/>
          <w:szCs w:val="24"/>
        </w:rPr>
        <w:t>в гандболе</w:t>
      </w:r>
      <w:proofErr w:type="gramEnd"/>
      <w:r w:rsidRPr="006D1830">
        <w:rPr>
          <w:rFonts w:ascii="Times New Roman" w:hAnsi="Times New Roman" w:cs="Times New Roman"/>
          <w:sz w:val="24"/>
          <w:szCs w:val="24"/>
        </w:rPr>
        <w:t xml:space="preserve"> и их краткая характеристика.</w:t>
      </w:r>
    </w:p>
    <w:p w14:paraId="426F5694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Специально-подготовленные упражнения, направленные на развитие физических качеств.</w:t>
      </w:r>
    </w:p>
    <w:p w14:paraId="445942FB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Подводящие упражнения, как основное средство обучения приемам техники в гандболе.</w:t>
      </w:r>
    </w:p>
    <w:p w14:paraId="2F6B8182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Метод строго-регламентированного упражнения при обучении техническим приемам в гандболе.</w:t>
      </w:r>
    </w:p>
    <w:p w14:paraId="4A542866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Характеристики учебно-тренировочного занятия по гандболу, его структура и содержание.</w:t>
      </w:r>
    </w:p>
    <w:p w14:paraId="199EB889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 xml:space="preserve">Методика подбора и составления комплекса общеразвивающих упражнений для гандболистов. </w:t>
      </w:r>
    </w:p>
    <w:p w14:paraId="791A0D53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учебно-тренировочных занятий по гандболу, подбора и организации упражнений. </w:t>
      </w:r>
    </w:p>
    <w:p w14:paraId="777E13C6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 xml:space="preserve">Содержание и структура план-конспекта учебно-тренировочного занятия по гандболу. </w:t>
      </w:r>
    </w:p>
    <w:p w14:paraId="3AC97F0D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Особенности методики проведения учебно-тренировочного занятия с юными гандболистами.</w:t>
      </w:r>
    </w:p>
    <w:p w14:paraId="5F1BF3C2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Особенности методики проведения учебно-тренировочного занятия с квалифицированными гандболистами.</w:t>
      </w:r>
    </w:p>
    <w:p w14:paraId="4E6331BE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Особенности методики развития силы у гандболистов (3-4 подготовительных упражнения, направленных на развитие силы различных мышечных групп).</w:t>
      </w:r>
    </w:p>
    <w:p w14:paraId="4E781ED0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Особенности методики развития быстроты у гандболистов; 5-6 подготовительных упражнения.</w:t>
      </w:r>
    </w:p>
    <w:p w14:paraId="7142F4C4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Особенности методики развития ловкости у гандболистов; 4-5 подготовительных упражнения.</w:t>
      </w:r>
    </w:p>
    <w:p w14:paraId="30B4EFED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Особенности методики развития гибкости у гандболистов; 4-5 подготовительных упражнения.</w:t>
      </w:r>
    </w:p>
    <w:p w14:paraId="28652028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Особенности методики развития скоростно-силовых способностей у гандболистов; 3-4 подготовительных упражнения.</w:t>
      </w:r>
    </w:p>
    <w:p w14:paraId="4A8F55D4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lastRenderedPageBreak/>
        <w:t>Особенности методики развития выносливости у гандболистов; 3-4 подготовительных упражнения.</w:t>
      </w:r>
    </w:p>
    <w:p w14:paraId="77DC81CD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Техника перемещений в нападении, особенности методики обучения; 3-4 подводящих упражнения.</w:t>
      </w:r>
    </w:p>
    <w:p w14:paraId="616C82DE" w14:textId="77777777" w:rsidR="00D65BE4" w:rsidRPr="006D1830" w:rsidRDefault="00D65BE4" w:rsidP="004D761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830">
        <w:rPr>
          <w:rFonts w:ascii="Times New Roman" w:hAnsi="Times New Roman" w:cs="Times New Roman"/>
          <w:sz w:val="24"/>
          <w:szCs w:val="24"/>
        </w:rPr>
        <w:t>Техника ловли мяча, особенности методики обучения; 3-4 подводящих упражнения.</w:t>
      </w:r>
    </w:p>
    <w:p w14:paraId="65D6770F" w14:textId="77777777" w:rsidR="004D7614" w:rsidRDefault="004D7614" w:rsidP="004D7614">
      <w:pPr>
        <w:tabs>
          <w:tab w:val="left" w:pos="426"/>
        </w:tabs>
        <w:spacing w:after="160" w:line="259" w:lineRule="auto"/>
        <w:ind w:firstLine="0"/>
        <w:contextualSpacing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87B294E" w14:textId="3C09FA5C" w:rsidR="004D7614" w:rsidRPr="004D7614" w:rsidRDefault="004D7614" w:rsidP="004D7614">
      <w:pPr>
        <w:spacing w:after="160" w:line="259" w:lineRule="auto"/>
        <w:ind w:firstLine="0"/>
        <w:contextualSpacing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30"/>
          <w:szCs w:val="30"/>
        </w:rPr>
        <w:lastRenderedPageBreak/>
        <w:t>Экзаменационные</w:t>
      </w:r>
      <w:r w:rsidRPr="004D7614">
        <w:rPr>
          <w:rFonts w:cs="Times New Roman"/>
          <w:b/>
          <w:bCs/>
          <w:sz w:val="30"/>
          <w:szCs w:val="30"/>
        </w:rPr>
        <w:t xml:space="preserve"> требования</w:t>
      </w:r>
    </w:p>
    <w:p w14:paraId="37EC716C" w14:textId="77777777" w:rsidR="004D7614" w:rsidRPr="004D7614" w:rsidRDefault="004D7614" w:rsidP="004D7614">
      <w:pPr>
        <w:jc w:val="center"/>
        <w:rPr>
          <w:rFonts w:cs="Times New Roman"/>
          <w:b/>
          <w:bCs/>
          <w:sz w:val="30"/>
          <w:szCs w:val="30"/>
        </w:rPr>
      </w:pPr>
    </w:p>
    <w:p w14:paraId="04C81F25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Правила безопасности при занятиях гандболом; причины возникновения травм.</w:t>
      </w:r>
    </w:p>
    <w:p w14:paraId="0C5F78EE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гандбола; гандбол в Республике Беларусь.</w:t>
      </w:r>
    </w:p>
    <w:p w14:paraId="45AEF590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Методика судейства в гандболе; последние изменения правил игры и их современная интерпретация.</w:t>
      </w:r>
    </w:p>
    <w:p w14:paraId="640F6A81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Место спортивных соревнований в учебно-тренировочном процессе и их классификация.</w:t>
      </w:r>
    </w:p>
    <w:p w14:paraId="3E75C4DC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Современные правила игры, их значение и объективная необходимость.</w:t>
      </w:r>
    </w:p>
    <w:p w14:paraId="470DF846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Классификация упражнений в гандболе.</w:t>
      </w:r>
    </w:p>
    <w:p w14:paraId="7DFA72C9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Характеристика упражнений, как основных средств воспитания специальных физических качеств у гандболистов.</w:t>
      </w:r>
    </w:p>
    <w:p w14:paraId="0C1295AA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Классификация техники игры в гандболе. Понятия и принципы деления на «разделы», «группы», «приемы», «способы», «разновидности».</w:t>
      </w:r>
    </w:p>
    <w:p w14:paraId="40044BFC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Фазовая структура технических приемов: подготовительная, основная, завершающая фазы двигательного действия.</w:t>
      </w:r>
    </w:p>
    <w:p w14:paraId="7FE3E958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Теоретические основы тактики гандбола, определение понятий «стратегия», «тактика»; формы ведения спортивной борьбы.</w:t>
      </w:r>
    </w:p>
    <w:p w14:paraId="657BDD43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Классификация тактики игры в гандболе. Определения понятий – «стратегия», «тактика», «комбинация».</w:t>
      </w:r>
    </w:p>
    <w:p w14:paraId="5BE43CC3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Специальные физические качества гандболистов, методы их развития.</w:t>
      </w:r>
    </w:p>
    <w:p w14:paraId="5DFBF47B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Средства физического воспитания, применяемые </w:t>
      </w:r>
      <w:proofErr w:type="gramStart"/>
      <w:r w:rsidRPr="004D7614">
        <w:rPr>
          <w:rFonts w:ascii="Times New Roman" w:hAnsi="Times New Roman" w:cs="Times New Roman"/>
          <w:sz w:val="24"/>
          <w:szCs w:val="24"/>
        </w:rPr>
        <w:t>в гандболе</w:t>
      </w:r>
      <w:proofErr w:type="gramEnd"/>
      <w:r w:rsidRPr="004D7614">
        <w:rPr>
          <w:rFonts w:ascii="Times New Roman" w:hAnsi="Times New Roman" w:cs="Times New Roman"/>
          <w:sz w:val="24"/>
          <w:szCs w:val="24"/>
        </w:rPr>
        <w:t xml:space="preserve"> и их краткая характеристика.</w:t>
      </w:r>
    </w:p>
    <w:p w14:paraId="25DF0540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Специально-подготовленные упражнения, направленные на развитие физических качеств.</w:t>
      </w:r>
    </w:p>
    <w:p w14:paraId="77D937AC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Подводящие упражнения, как основное средство обучения приемам техники в гандболе.</w:t>
      </w:r>
    </w:p>
    <w:p w14:paraId="6339B000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Метод строго-регламентированного упражнения при обучении техническим приемам в гандболе.</w:t>
      </w:r>
    </w:p>
    <w:p w14:paraId="3721ED35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Характеристики учебно-тренировочного занятия по гандболу, его структура и содержание.</w:t>
      </w:r>
    </w:p>
    <w:p w14:paraId="2B95D1BD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Методика подбора и составления комплекса общеразвивающих упражнений для гандболистов. </w:t>
      </w:r>
    </w:p>
    <w:p w14:paraId="2D9BFE14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учебно-тренировочных занятий по гандболу, подбора и организации упражнений. </w:t>
      </w:r>
    </w:p>
    <w:p w14:paraId="546F0481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Содержание и структура план-конспекта учебно-тренировочного занятия по гандболу. </w:t>
      </w:r>
    </w:p>
    <w:p w14:paraId="420CAE64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проведения учебно-тренировочного занятия с юными гандболистами.</w:t>
      </w:r>
    </w:p>
    <w:p w14:paraId="7B8B10E2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проведения учебно-тренировочного занятия с квалифицированными гандболистами.</w:t>
      </w:r>
    </w:p>
    <w:p w14:paraId="2113B726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развития силы у гандболистов (3-4 подготовительных упражнения, направленных на развитие силы различных мышечных групп).</w:t>
      </w:r>
    </w:p>
    <w:p w14:paraId="0C65E8D3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развития быстроты у гандболистов; 5-6 подготовительных упражнения.</w:t>
      </w:r>
    </w:p>
    <w:p w14:paraId="3CA1AD16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развития ловкости у гандболистов; 4-5 подготовительных упражнения.</w:t>
      </w:r>
    </w:p>
    <w:p w14:paraId="2179F4F1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развития гибкости у гандболистов; 4-5 подготовительных упражнения.</w:t>
      </w:r>
    </w:p>
    <w:p w14:paraId="5EB6941F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развития скоростно-силовых способностей у гандболистов; 3-4 подготовительных упражнения.</w:t>
      </w:r>
    </w:p>
    <w:p w14:paraId="1D5D498C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lastRenderedPageBreak/>
        <w:t>Особенности методики развития выносливости у гандболистов; 3-4 подготовительных упражнения.</w:t>
      </w:r>
    </w:p>
    <w:p w14:paraId="1EDB42FF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перемещений в нападении, особенности методики обучения; 3-4 подводящих упражнения.</w:t>
      </w:r>
    </w:p>
    <w:p w14:paraId="5CA600E2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ловли мяча, особенности методики обучения; 3-4 подводящих упражнения.</w:t>
      </w:r>
    </w:p>
    <w:p w14:paraId="677CCC8B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передач мяча на месте, особенности методики обучения; 3-4 подводящих упражнения.</w:t>
      </w:r>
    </w:p>
    <w:p w14:paraId="39BFE6A9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Техника передач мяча в движении, особенности методики обучения; </w:t>
      </w:r>
      <w:r w:rsidRPr="004D7614">
        <w:rPr>
          <w:rFonts w:ascii="Times New Roman" w:hAnsi="Times New Roman" w:cs="Times New Roman"/>
          <w:sz w:val="24"/>
          <w:szCs w:val="24"/>
        </w:rPr>
        <w:br/>
        <w:t>3-4 подводящих упражнения.</w:t>
      </w:r>
    </w:p>
    <w:p w14:paraId="1200A608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ведения мяча, особенности методики обучения; 3-4 подводящих упражнения.</w:t>
      </w:r>
    </w:p>
    <w:p w14:paraId="3DEE4312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бросков мяча по воротам в опорном положении, особенности методики обучения; 3-4 подводящих упражнения.</w:t>
      </w:r>
    </w:p>
    <w:p w14:paraId="788FCBEC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бросков мяча по воротам в безопорном положении, особенности методики обучения; 3-4 подводящих упражнения.</w:t>
      </w:r>
    </w:p>
    <w:p w14:paraId="3F8F1A64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бросков мяча по воротам в падении, особенности методики обучения; 3-4 подводящих упражнения.</w:t>
      </w:r>
    </w:p>
    <w:p w14:paraId="6FF43954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бросков мяча по воротам с позиции полусреднего, особенности методики обучения; 3-4 подводящих упражнения.</w:t>
      </w:r>
    </w:p>
    <w:p w14:paraId="074844E7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бросков мяча по воротам с позиции крайнего нападающего, особенности методики обучения; 3-4 подводящих упражнения.</w:t>
      </w:r>
    </w:p>
    <w:p w14:paraId="7A880F48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бросков мяча по воротам с позиции линейного, особенности методики обучения; 3-4 подводящих упражнения.</w:t>
      </w:r>
    </w:p>
    <w:p w14:paraId="50BF344B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перемещений в защите, особенности методики обучения; 3-4 подводящих упражнения.</w:t>
      </w:r>
    </w:p>
    <w:p w14:paraId="5245F3E4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блокирования мяча, особенности методики обучения; 3-4 подводящих упражнения.</w:t>
      </w:r>
    </w:p>
    <w:p w14:paraId="60AA5914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блокирования игрока, особенности методики обучения; 3-4 подводящих упражнения.</w:t>
      </w:r>
    </w:p>
    <w:p w14:paraId="022839A6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выбивания мяча, особенности методики обучения; 3-4 подводящих упражнения.</w:t>
      </w:r>
    </w:p>
    <w:p w14:paraId="5C383F90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Техника перехвата мяча, особенности методики обучения; 3-4 подводящих упражнения.</w:t>
      </w:r>
    </w:p>
    <w:p w14:paraId="74EB623C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индивидуальным тактическим действиям в нападении; специальные упражнения, применяемые для обучения действиям игрока без мяча.</w:t>
      </w:r>
    </w:p>
    <w:p w14:paraId="0524905C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индивидуальным тактическим действиям в нападении; специальные упражнения, применяемые для обучения действиям игрока с мячом.</w:t>
      </w:r>
    </w:p>
    <w:p w14:paraId="66C2D6F0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групповым тактическим действиям в нападении; специальные упражнения, применяемые для обучения взаимодействиям двух игроков.</w:t>
      </w:r>
    </w:p>
    <w:p w14:paraId="5BBC93E5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групповым тактическим действиям в нападении; специальные упражнения, применяемые для обучения взаимодействиям трех игроков.</w:t>
      </w:r>
    </w:p>
    <w:p w14:paraId="6C82A8CE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системе позиционного нападения.</w:t>
      </w:r>
    </w:p>
    <w:p w14:paraId="6B92E743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системе стремительного нападения.</w:t>
      </w:r>
    </w:p>
    <w:p w14:paraId="7DBEDC10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контратаки.</w:t>
      </w:r>
    </w:p>
    <w:p w14:paraId="1E0D5337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индивидуальным тактическим действиям в защите; специальные упражнения, применяемые для обучения действиям против нападающего игрока без мяча.</w:t>
      </w:r>
    </w:p>
    <w:p w14:paraId="003E3323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lastRenderedPageBreak/>
        <w:t>Особенности методики обучения индивидуальным тактическим действиям в защите; специальные упражнения, применяемые для обучения действиям против нападающего игрока с мячом.</w:t>
      </w:r>
    </w:p>
    <w:p w14:paraId="6D3C6422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групповым тактическим действиям в защите; специальные упражнения, применяемые для обучения противодействию взаимодействиям двух игроков в нападении.</w:t>
      </w:r>
    </w:p>
    <w:p w14:paraId="40DA62D1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групповым тактическим действиям в защите; специальные упражнения, применяемые для обучения противодействию взаимодействиям трех игроков в нападении.</w:t>
      </w:r>
    </w:p>
    <w:p w14:paraId="150DB489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командным тактическим действиям в защите; специальные упражнения, применяемые для обучения зонной системе защиты.</w:t>
      </w:r>
    </w:p>
    <w:p w14:paraId="49D39F9F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командным тактическим действиям в защите; специальные упражнения, применяемые для обучения смешанной системе защиты.</w:t>
      </w:r>
    </w:p>
    <w:p w14:paraId="569F64E9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командным тактическим действиям в защите; специальные упражнения, применяемые для обучения персональной системе защиты.</w:t>
      </w:r>
    </w:p>
    <w:p w14:paraId="3BEF29CB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индивидуальным тактическим действиям вратаря; специальные упражнения, применяемые для обучения выбора позиции в воротах.</w:t>
      </w:r>
    </w:p>
    <w:p w14:paraId="612320D8" w14:textId="77777777" w:rsidR="004D7614" w:rsidRPr="004D7614" w:rsidRDefault="004D7614" w:rsidP="004D76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Особенности методики обучения командным тактическим действиям вратаря; специальные упражнения, применяемые для обучения взаимодействиям вратаря с защитниками.</w:t>
      </w:r>
    </w:p>
    <w:p w14:paraId="398899A5" w14:textId="77777777" w:rsidR="004D7614" w:rsidRPr="00D65BE4" w:rsidRDefault="004D7614" w:rsidP="004D7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D7614" w:rsidRPr="00D6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843"/>
    <w:multiLevelType w:val="hybridMultilevel"/>
    <w:tmpl w:val="D46490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228B1"/>
    <w:multiLevelType w:val="hybridMultilevel"/>
    <w:tmpl w:val="BC0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E4"/>
    <w:rsid w:val="004D7614"/>
    <w:rsid w:val="005C3416"/>
    <w:rsid w:val="00D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30FE"/>
  <w15:chartTrackingRefBased/>
  <w15:docId w15:val="{0B5639BE-5A03-48B5-A4AE-F41E55E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BE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E4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2023-09-18T09:34:00Z</dcterms:created>
  <dcterms:modified xsi:type="dcterms:W3CDTF">2023-11-08T14:28:00Z</dcterms:modified>
</cp:coreProperties>
</file>