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C3" w:rsidRPr="004D4EA5" w:rsidRDefault="006805C3" w:rsidP="006805C3">
      <w:pPr>
        <w:pStyle w:val="a6"/>
        <w:ind w:left="4248" w:firstLine="1422"/>
        <w:jc w:val="left"/>
        <w:rPr>
          <w:b w:val="0"/>
          <w:caps/>
          <w:szCs w:val="28"/>
        </w:rPr>
      </w:pPr>
      <w:r w:rsidRPr="004D4EA5">
        <w:rPr>
          <w:b w:val="0"/>
          <w:caps/>
          <w:szCs w:val="28"/>
        </w:rPr>
        <w:t>УТВЕРЖДЕНО</w:t>
      </w:r>
    </w:p>
    <w:p w:rsidR="006805C3" w:rsidRPr="004D4EA5" w:rsidRDefault="006805C3" w:rsidP="006805C3">
      <w:pPr>
        <w:pStyle w:val="a6"/>
        <w:ind w:left="4248" w:firstLine="1422"/>
        <w:jc w:val="left"/>
        <w:rPr>
          <w:b w:val="0"/>
          <w:szCs w:val="28"/>
        </w:rPr>
      </w:pPr>
      <w:r w:rsidRPr="004D4EA5">
        <w:rPr>
          <w:b w:val="0"/>
          <w:szCs w:val="28"/>
        </w:rPr>
        <w:t xml:space="preserve">кафедрой ТиМФВиС </w:t>
      </w:r>
    </w:p>
    <w:p w:rsidR="006805C3" w:rsidRPr="004D4EA5" w:rsidRDefault="006805C3" w:rsidP="006805C3">
      <w:pPr>
        <w:pStyle w:val="a6"/>
        <w:ind w:left="4248" w:firstLine="1422"/>
        <w:jc w:val="left"/>
        <w:rPr>
          <w:b w:val="0"/>
          <w:szCs w:val="28"/>
        </w:rPr>
      </w:pPr>
      <w:r w:rsidRPr="004D4EA5">
        <w:rPr>
          <w:b w:val="0"/>
          <w:szCs w:val="28"/>
        </w:rPr>
        <w:t>протокол от 06.09.2023 № 2</w:t>
      </w:r>
    </w:p>
    <w:p w:rsidR="006805C3" w:rsidRDefault="006805C3" w:rsidP="006805C3">
      <w:pPr>
        <w:pStyle w:val="a6"/>
        <w:rPr>
          <w:b w:val="0"/>
          <w:szCs w:val="28"/>
        </w:rPr>
      </w:pPr>
    </w:p>
    <w:p w:rsidR="00D4183E" w:rsidRPr="006805C3" w:rsidRDefault="00D4183E" w:rsidP="00B7152A">
      <w:pPr>
        <w:pStyle w:val="a6"/>
      </w:pPr>
    </w:p>
    <w:p w:rsidR="00260B0F" w:rsidRPr="00F83BE5" w:rsidRDefault="00260B0F" w:rsidP="00B7152A">
      <w:pPr>
        <w:pStyle w:val="a6"/>
      </w:pPr>
      <w:r>
        <w:rPr>
          <w:lang w:val="ru-RU"/>
        </w:rPr>
        <w:t>ЗАЧЕТНЫЕ</w:t>
      </w:r>
      <w:r w:rsidRPr="00F83BE5">
        <w:t xml:space="preserve"> ТРЕБОВАНИЯ</w:t>
      </w:r>
    </w:p>
    <w:p w:rsidR="00D4183E" w:rsidRDefault="00260B0F" w:rsidP="00B7152A">
      <w:pPr>
        <w:widowControl w:val="0"/>
        <w:ind w:firstLine="0"/>
        <w:jc w:val="center"/>
        <w:rPr>
          <w:color w:val="000000"/>
          <w:szCs w:val="28"/>
        </w:rPr>
      </w:pPr>
      <w:r>
        <w:rPr>
          <w:snapToGrid w:val="0"/>
        </w:rPr>
        <w:t xml:space="preserve">по учебной дисциплине </w:t>
      </w:r>
      <w:r w:rsidRPr="005D2D64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Современные технологии контроля </w:t>
      </w:r>
    </w:p>
    <w:p w:rsidR="00260B0F" w:rsidRDefault="00260B0F" w:rsidP="00B7152A">
      <w:pPr>
        <w:widowControl w:val="0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 практике физической культуры и спорта</w:t>
      </w:r>
      <w:r w:rsidRPr="005D2D64">
        <w:rPr>
          <w:color w:val="000000"/>
          <w:szCs w:val="28"/>
        </w:rPr>
        <w:t>»</w:t>
      </w:r>
    </w:p>
    <w:p w:rsidR="006805C3" w:rsidRPr="004D4EA5" w:rsidRDefault="006805C3" w:rsidP="00B7152A">
      <w:pPr>
        <w:widowControl w:val="0"/>
        <w:ind w:firstLine="0"/>
        <w:jc w:val="center"/>
        <w:rPr>
          <w:szCs w:val="28"/>
        </w:rPr>
      </w:pPr>
      <w:r w:rsidRPr="004D4EA5">
        <w:rPr>
          <w:szCs w:val="28"/>
        </w:rPr>
        <w:t>в 2023/2024 учебном году</w:t>
      </w:r>
    </w:p>
    <w:p w:rsidR="002F704C" w:rsidRPr="006805C3" w:rsidRDefault="002F704C" w:rsidP="002E3EAF">
      <w:pPr>
        <w:ind w:firstLine="709"/>
        <w:jc w:val="both"/>
      </w:pPr>
    </w:p>
    <w:p w:rsidR="002E3EAF" w:rsidRDefault="002E3EAF" w:rsidP="00260B0F">
      <w:pPr>
        <w:spacing w:after="120"/>
        <w:ind w:firstLine="709"/>
        <w:jc w:val="both"/>
      </w:pPr>
      <w:r>
        <w:rPr>
          <w:lang w:val="ru-RU"/>
        </w:rPr>
        <w:t xml:space="preserve">1. </w:t>
      </w:r>
      <w:r>
        <w:t>Система комплексного контроля в физической культуре и спорте.</w:t>
      </w:r>
      <w:r>
        <w:rPr>
          <w:lang w:val="ru-RU"/>
        </w:rPr>
        <w:t xml:space="preserve"> </w:t>
      </w:r>
      <w:r>
        <w:t>Виды контроля во временном аспекте: этапный, текущий и оперативный.</w:t>
      </w:r>
      <w:r>
        <w:rPr>
          <w:lang w:val="ru-RU"/>
        </w:rPr>
        <w:t xml:space="preserve"> </w:t>
      </w:r>
      <w:r>
        <w:t>Требования к показателям контроля. Выбор наиболее надежных и информативных показателей, о</w:t>
      </w:r>
      <w:bookmarkStart w:id="0" w:name="_GoBack"/>
      <w:bookmarkEnd w:id="0"/>
      <w:r>
        <w:t>тражающих ход подготовки, состояние и динамику подготовленности спортсмена.</w:t>
      </w:r>
    </w:p>
    <w:p w:rsidR="002E3EAF" w:rsidRDefault="002E3EAF" w:rsidP="00260B0F">
      <w:pPr>
        <w:spacing w:after="120"/>
        <w:ind w:firstLine="709"/>
        <w:jc w:val="both"/>
      </w:pPr>
      <w:r>
        <w:rPr>
          <w:lang w:val="ru-RU"/>
        </w:rPr>
        <w:t xml:space="preserve">2. </w:t>
      </w:r>
      <w:r>
        <w:t>Формирование срочной и долговременной адаптации. Переадаптация, деадаптация, реадаптация.</w:t>
      </w:r>
      <w:r>
        <w:rPr>
          <w:lang w:val="ru-RU"/>
        </w:rPr>
        <w:t xml:space="preserve"> </w:t>
      </w:r>
      <w:r>
        <w:t>Единство контроля различных видов подготовленности занимающегося как отражение адаптации к физическим нагрузкам.</w:t>
      </w:r>
    </w:p>
    <w:p w:rsidR="002E3EAF" w:rsidRDefault="002E3EAF" w:rsidP="00260B0F">
      <w:pPr>
        <w:spacing w:after="120"/>
        <w:ind w:firstLine="709"/>
        <w:jc w:val="both"/>
      </w:pPr>
      <w:r>
        <w:rPr>
          <w:lang w:val="ru-RU"/>
        </w:rPr>
        <w:t xml:space="preserve">3. </w:t>
      </w:r>
      <w:r>
        <w:t>Связь спортивного отбора и ориентации с этапами многолетней подготовки.</w:t>
      </w:r>
      <w:r w:rsidR="00911900" w:rsidRPr="00911900">
        <w:t xml:space="preserve"> </w:t>
      </w:r>
      <w:r w:rsidR="00911900">
        <w:t>Технологии оценки уровня физического развития, особенностей телосложения, биологического созревания.</w:t>
      </w:r>
    </w:p>
    <w:p w:rsidR="002E3EAF" w:rsidRDefault="002E3EAF" w:rsidP="00260B0F">
      <w:pPr>
        <w:spacing w:after="120"/>
        <w:ind w:firstLine="709"/>
        <w:jc w:val="both"/>
      </w:pPr>
      <w:r>
        <w:rPr>
          <w:lang w:val="ru-RU"/>
        </w:rPr>
        <w:t xml:space="preserve">4. </w:t>
      </w:r>
      <w:r w:rsidR="00911900">
        <w:t>Оценка состояния опорно-двигательного аппарата с применением технических средств.</w:t>
      </w:r>
      <w:r w:rsidR="00911900">
        <w:rPr>
          <w:lang w:val="ru-RU"/>
        </w:rPr>
        <w:t xml:space="preserve"> </w:t>
      </w:r>
      <w:r>
        <w:t>Осанка. Влияние различных видов спорта на формирование осанки.</w:t>
      </w:r>
    </w:p>
    <w:p w:rsidR="005F2C2C" w:rsidRDefault="002E3EAF" w:rsidP="00260B0F">
      <w:pPr>
        <w:spacing w:after="120"/>
        <w:ind w:firstLine="709"/>
        <w:jc w:val="both"/>
      </w:pPr>
      <w:r>
        <w:rPr>
          <w:lang w:val="ru-RU"/>
        </w:rPr>
        <w:t xml:space="preserve">5. </w:t>
      </w:r>
      <w:r w:rsidR="00911900">
        <w:t xml:space="preserve">Технологии </w:t>
      </w:r>
      <w:r w:rsidR="00911900">
        <w:rPr>
          <w:lang w:val="ru-RU"/>
        </w:rPr>
        <w:t xml:space="preserve">оценки координационных способностей. </w:t>
      </w:r>
      <w:r w:rsidR="005F2C2C">
        <w:t>Постурография. Оборудование, основные контролируемые показатели. Использование в спорте.</w:t>
      </w:r>
    </w:p>
    <w:p w:rsidR="005F2C2C" w:rsidRDefault="005F2C2C" w:rsidP="00260B0F">
      <w:pPr>
        <w:spacing w:after="120"/>
        <w:ind w:firstLine="709"/>
        <w:jc w:val="both"/>
      </w:pPr>
      <w:r>
        <w:rPr>
          <w:lang w:val="ru-RU"/>
        </w:rPr>
        <w:t xml:space="preserve">6. </w:t>
      </w:r>
      <w:r>
        <w:t>Технологии оценки свойств нервной системы.</w:t>
      </w:r>
      <w:r>
        <w:rPr>
          <w:lang w:val="ru-RU"/>
        </w:rPr>
        <w:t xml:space="preserve"> </w:t>
      </w:r>
      <w:r>
        <w:t>Влияние физических нагрузок на психофизиологический статус спортсмена.</w:t>
      </w:r>
      <w:r>
        <w:rPr>
          <w:lang w:val="ru-RU"/>
        </w:rPr>
        <w:t xml:space="preserve"> </w:t>
      </w:r>
      <w:r>
        <w:t>Оборудование для определения психофизиологического статуса спортсмена. Основные контролируемые показатели.</w:t>
      </w:r>
    </w:p>
    <w:p w:rsidR="005F2C2C" w:rsidRDefault="005F2C2C" w:rsidP="00260B0F">
      <w:pPr>
        <w:spacing w:after="120"/>
        <w:ind w:firstLine="709"/>
        <w:jc w:val="both"/>
      </w:pPr>
      <w:r>
        <w:rPr>
          <w:lang w:val="ru-RU"/>
        </w:rPr>
        <w:t xml:space="preserve">7. </w:t>
      </w:r>
      <w:r>
        <w:t>Технологии оценки функциональных возможностей.</w:t>
      </w:r>
      <w:r>
        <w:rPr>
          <w:lang w:val="ru-RU"/>
        </w:rPr>
        <w:t xml:space="preserve"> </w:t>
      </w:r>
      <w:r>
        <w:t>Методы исследования сердечно-сосудистой системы.</w:t>
      </w:r>
      <w:r>
        <w:rPr>
          <w:lang w:val="ru-RU"/>
        </w:rPr>
        <w:t xml:space="preserve"> </w:t>
      </w:r>
      <w:r>
        <w:t>Технические средства диагностики сердечно-сосудистой системы.</w:t>
      </w:r>
      <w:r>
        <w:rPr>
          <w:lang w:val="ru-RU"/>
        </w:rPr>
        <w:t xml:space="preserve"> </w:t>
      </w:r>
      <w:r>
        <w:t>Влияние физических нагрузок на функцию сердечно-сосудистой системы.</w:t>
      </w:r>
    </w:p>
    <w:p w:rsidR="00457F87" w:rsidRDefault="005F2C2C" w:rsidP="00260B0F">
      <w:pPr>
        <w:spacing w:after="120"/>
        <w:ind w:firstLine="709"/>
        <w:jc w:val="both"/>
      </w:pPr>
      <w:r>
        <w:rPr>
          <w:lang w:val="ru-RU"/>
        </w:rPr>
        <w:t xml:space="preserve">8. </w:t>
      </w:r>
      <w:r w:rsidR="00AE7539" w:rsidRPr="00AE7539">
        <w:rPr>
          <w:lang w:val="ru-RU"/>
        </w:rPr>
        <w:t>Современные биомеханические методы исследования функции стоп</w:t>
      </w:r>
      <w:r w:rsidR="00AE7539">
        <w:rPr>
          <w:lang w:val="ru-RU"/>
        </w:rPr>
        <w:t>.</w:t>
      </w:r>
      <w:r w:rsidR="00AE7539" w:rsidRPr="00AE7539">
        <w:rPr>
          <w:lang w:val="ru-RU"/>
        </w:rPr>
        <w:t xml:space="preserve"> </w:t>
      </w:r>
      <w:r w:rsidR="00457F87">
        <w:t>Подобарометрия. Назначение, оборудование. Применение в спорте.</w:t>
      </w:r>
    </w:p>
    <w:p w:rsidR="00457F87" w:rsidRPr="00E42728" w:rsidRDefault="00457F87" w:rsidP="00260B0F">
      <w:pPr>
        <w:spacing w:after="120"/>
        <w:ind w:firstLine="709"/>
        <w:jc w:val="both"/>
      </w:pPr>
      <w:r>
        <w:rPr>
          <w:lang w:val="ru-RU"/>
        </w:rPr>
        <w:t xml:space="preserve">9. </w:t>
      </w:r>
      <w:r w:rsidR="00E42728">
        <w:rPr>
          <w:lang w:val="ru-RU"/>
        </w:rPr>
        <w:t xml:space="preserve">Оценка кинематических параметров двигательных действий. </w:t>
      </w:r>
      <w:r>
        <w:t>Системы видеозахвата и анализа движений.</w:t>
      </w:r>
    </w:p>
    <w:p w:rsidR="00B62B5F" w:rsidRDefault="00B62B5F" w:rsidP="00260B0F">
      <w:pPr>
        <w:spacing w:after="120"/>
        <w:ind w:firstLine="709"/>
        <w:jc w:val="both"/>
      </w:pPr>
      <w:r>
        <w:rPr>
          <w:lang w:val="ru-RU"/>
        </w:rPr>
        <w:lastRenderedPageBreak/>
        <w:t xml:space="preserve">10. </w:t>
      </w:r>
      <w:r>
        <w:t>Закономерности изменения биоэлектрической активности мышц под воздействием специализированных физических нагрузок.</w:t>
      </w:r>
      <w:r>
        <w:rPr>
          <w:lang w:val="ru-RU"/>
        </w:rPr>
        <w:t xml:space="preserve"> </w:t>
      </w:r>
      <w:r>
        <w:t>Оборудование, методика проведения электромиографического исследования и интерпретация результатов для практического применения в тренировочном процессе.</w:t>
      </w:r>
    </w:p>
    <w:p w:rsidR="00B62B5F" w:rsidRDefault="00B62B5F" w:rsidP="00260B0F">
      <w:pPr>
        <w:spacing w:after="120"/>
        <w:ind w:firstLine="709"/>
        <w:jc w:val="both"/>
      </w:pPr>
      <w:r>
        <w:rPr>
          <w:lang w:val="ru-RU"/>
        </w:rPr>
        <w:t xml:space="preserve">11. </w:t>
      </w:r>
      <w:r>
        <w:t>Методы исследования внешнего дыхания. Функциональное состояние аппарата внешнего дыхания у спортсменов и его показатели.</w:t>
      </w:r>
      <w:r>
        <w:rPr>
          <w:lang w:val="ru-RU"/>
        </w:rPr>
        <w:t xml:space="preserve"> </w:t>
      </w:r>
      <w:r>
        <w:t>Анализ и интерпретация полученных результатов.</w:t>
      </w:r>
      <w:r>
        <w:rPr>
          <w:lang w:val="ru-RU"/>
        </w:rPr>
        <w:t xml:space="preserve"> </w:t>
      </w:r>
      <w:r>
        <w:t>Эргогенические средства направленного воздействия на дыхательную систему.</w:t>
      </w:r>
    </w:p>
    <w:p w:rsidR="00B62B5F" w:rsidRDefault="00B62B5F" w:rsidP="00260B0F">
      <w:pPr>
        <w:spacing w:after="120"/>
        <w:ind w:firstLine="709"/>
        <w:jc w:val="both"/>
      </w:pPr>
      <w:r>
        <w:rPr>
          <w:lang w:val="ru-RU"/>
        </w:rPr>
        <w:t xml:space="preserve">12. </w:t>
      </w:r>
      <w:r>
        <w:t>Эргометрия. Оборудование, возможности использования в спорте.</w:t>
      </w:r>
      <w:r>
        <w:rPr>
          <w:lang w:val="ru-RU"/>
        </w:rPr>
        <w:t xml:space="preserve"> </w:t>
      </w:r>
      <w:r>
        <w:t>Эргоспирометрия. Возможности, основные регистрируемые показатели.</w:t>
      </w:r>
    </w:p>
    <w:p w:rsidR="00B62B5F" w:rsidRDefault="00B62B5F" w:rsidP="00260B0F">
      <w:pPr>
        <w:spacing w:after="120"/>
        <w:ind w:firstLine="709"/>
        <w:jc w:val="both"/>
      </w:pPr>
      <w:r>
        <w:rPr>
          <w:lang w:val="ru-RU"/>
        </w:rPr>
        <w:t xml:space="preserve">13. </w:t>
      </w:r>
      <w:r>
        <w:t>Мобильные средства оценки специальной подготовленности спортсменов.</w:t>
      </w:r>
      <w:r>
        <w:rPr>
          <w:lang w:val="ru-RU"/>
        </w:rPr>
        <w:t xml:space="preserve"> </w:t>
      </w:r>
      <w:r>
        <w:t>Оборудование для оценки скоростных и скоростно-силовых способностей.</w:t>
      </w:r>
    </w:p>
    <w:p w:rsidR="00B62B5F" w:rsidRDefault="00B62B5F" w:rsidP="00260B0F">
      <w:pPr>
        <w:spacing w:after="120"/>
        <w:ind w:firstLine="709"/>
        <w:jc w:val="both"/>
      </w:pPr>
      <w:r>
        <w:rPr>
          <w:lang w:val="ru-RU"/>
        </w:rPr>
        <w:t xml:space="preserve">14. </w:t>
      </w:r>
      <w:r>
        <w:t>Средства и методы специальной подготовленности спортсменов.</w:t>
      </w:r>
      <w:r>
        <w:rPr>
          <w:lang w:val="ru-RU"/>
        </w:rPr>
        <w:t xml:space="preserve"> </w:t>
      </w:r>
      <w:r>
        <w:t>Полидинамометрия. Оборудование, методика проведения.</w:t>
      </w:r>
    </w:p>
    <w:p w:rsidR="00B62B5F" w:rsidRDefault="00B62B5F" w:rsidP="00260B0F">
      <w:pPr>
        <w:spacing w:after="120"/>
        <w:ind w:firstLine="709"/>
        <w:jc w:val="both"/>
      </w:pPr>
      <w:r>
        <w:rPr>
          <w:lang w:val="ru-RU"/>
        </w:rPr>
        <w:t xml:space="preserve">15. </w:t>
      </w:r>
      <w:r>
        <w:t>Технологии оценки уровня развития двигательных способностей.</w:t>
      </w:r>
      <w:r>
        <w:rPr>
          <w:lang w:val="ru-RU"/>
        </w:rPr>
        <w:t xml:space="preserve"> </w:t>
      </w:r>
      <w:r>
        <w:t>Технические средства для оценки гибкости.</w:t>
      </w:r>
    </w:p>
    <w:p w:rsidR="00B62B5F" w:rsidRDefault="00B62B5F" w:rsidP="00260B0F">
      <w:pPr>
        <w:spacing w:after="120"/>
        <w:ind w:firstLine="709"/>
        <w:jc w:val="both"/>
      </w:pPr>
      <w:r>
        <w:rPr>
          <w:lang w:val="ru-RU"/>
        </w:rPr>
        <w:t xml:space="preserve">16. </w:t>
      </w:r>
      <w:r>
        <w:t>Технологии оценки способности к перенесению тренировочных и соревновательных нагрузок.</w:t>
      </w:r>
      <w:r>
        <w:rPr>
          <w:lang w:val="ru-RU"/>
        </w:rPr>
        <w:t xml:space="preserve"> </w:t>
      </w:r>
      <w:r>
        <w:t>Средства восстановления физической работоспособности.</w:t>
      </w:r>
    </w:p>
    <w:p w:rsidR="00B62B5F" w:rsidRDefault="00B62B5F" w:rsidP="00260B0F">
      <w:pPr>
        <w:spacing w:after="120"/>
        <w:ind w:firstLine="709"/>
        <w:jc w:val="both"/>
      </w:pPr>
      <w:r>
        <w:rPr>
          <w:lang w:val="ru-RU"/>
        </w:rPr>
        <w:t xml:space="preserve">17. </w:t>
      </w:r>
      <w:r>
        <w:t>Технологии оценки способности к освоению спортивной техники и тактики, перестройки двигательных навыков и технико-тактических схем.</w:t>
      </w:r>
    </w:p>
    <w:p w:rsidR="00E42728" w:rsidRDefault="00E42728" w:rsidP="00260B0F">
      <w:pPr>
        <w:spacing w:after="120"/>
        <w:ind w:firstLine="709"/>
        <w:jc w:val="both"/>
        <w:rPr>
          <w:lang w:val="ru-RU"/>
        </w:rPr>
      </w:pPr>
      <w:r>
        <w:rPr>
          <w:lang w:val="ru-RU"/>
        </w:rPr>
        <w:t>18. Технические средства для оценки специальной подготовленности в циклических видах спорта.</w:t>
      </w:r>
    </w:p>
    <w:p w:rsidR="00E42728" w:rsidRDefault="00E42728" w:rsidP="00260B0F">
      <w:pPr>
        <w:spacing w:after="120"/>
        <w:ind w:firstLine="709"/>
        <w:jc w:val="both"/>
        <w:rPr>
          <w:lang w:val="ru-RU"/>
        </w:rPr>
      </w:pPr>
      <w:r>
        <w:rPr>
          <w:lang w:val="ru-RU"/>
        </w:rPr>
        <w:t>19. Технические средства для оценки специальной подготовленности в игровых видах спорта.</w:t>
      </w:r>
    </w:p>
    <w:p w:rsidR="00E42728" w:rsidRDefault="00E42728" w:rsidP="00260B0F">
      <w:pPr>
        <w:spacing w:after="120"/>
        <w:ind w:firstLine="709"/>
        <w:jc w:val="both"/>
        <w:rPr>
          <w:lang w:val="ru-RU"/>
        </w:rPr>
      </w:pPr>
      <w:r>
        <w:rPr>
          <w:lang w:val="ru-RU"/>
        </w:rPr>
        <w:t>20. Технические средства для оценки специальной подготовленности в сложнокоординационных видах спорта.</w:t>
      </w:r>
    </w:p>
    <w:p w:rsidR="00E42728" w:rsidRDefault="00E42728" w:rsidP="00260B0F">
      <w:pPr>
        <w:spacing w:after="120"/>
        <w:ind w:firstLine="709"/>
        <w:jc w:val="both"/>
        <w:rPr>
          <w:lang w:val="ru-RU"/>
        </w:rPr>
      </w:pPr>
      <w:r>
        <w:rPr>
          <w:lang w:val="ru-RU"/>
        </w:rPr>
        <w:t>21. Технические средства для оценки специальной подготовленности в единоборствах.</w:t>
      </w:r>
    </w:p>
    <w:p w:rsidR="00E42728" w:rsidRDefault="00B55849" w:rsidP="00260B0F">
      <w:pPr>
        <w:spacing w:after="120"/>
        <w:ind w:firstLine="709"/>
        <w:jc w:val="both"/>
        <w:rPr>
          <w:lang w:val="ru-RU"/>
        </w:rPr>
      </w:pPr>
      <w:r>
        <w:rPr>
          <w:lang w:val="ru-RU"/>
        </w:rPr>
        <w:t>22. Технические средства для оценки специальной подготовленности в видах спорта с преимущественным проявлением скоростно-силовых способностей.</w:t>
      </w:r>
    </w:p>
    <w:p w:rsidR="00852DFC" w:rsidRDefault="00852DFC" w:rsidP="00260B0F">
      <w:pPr>
        <w:spacing w:after="120"/>
        <w:ind w:firstLine="709"/>
        <w:jc w:val="both"/>
        <w:rPr>
          <w:lang w:val="ru-RU"/>
        </w:rPr>
      </w:pPr>
    </w:p>
    <w:p w:rsidR="00852DFC" w:rsidRDefault="00852DFC">
      <w:pPr>
        <w:rPr>
          <w:lang w:val="ru-RU"/>
        </w:rPr>
      </w:pPr>
      <w:r>
        <w:rPr>
          <w:lang w:val="ru-RU"/>
        </w:rPr>
        <w:br w:type="page"/>
      </w:r>
    </w:p>
    <w:p w:rsidR="00606528" w:rsidRPr="00F2413C" w:rsidRDefault="00606528" w:rsidP="00606528">
      <w:pPr>
        <w:suppressAutoHyphens/>
        <w:jc w:val="center"/>
        <w:rPr>
          <w:rFonts w:eastAsia="Times New Roman"/>
          <w:b/>
          <w:caps/>
          <w:sz w:val="24"/>
          <w:szCs w:val="24"/>
          <w:lang w:val="x-none" w:eastAsia="ru-RU"/>
        </w:rPr>
      </w:pPr>
      <w:r w:rsidRPr="00F2413C">
        <w:rPr>
          <w:rFonts w:eastAsia="Times New Roman"/>
          <w:b/>
          <w:caps/>
          <w:sz w:val="24"/>
          <w:szCs w:val="24"/>
          <w:lang w:val="x-none" w:eastAsia="ru-RU"/>
        </w:rPr>
        <w:lastRenderedPageBreak/>
        <w:t>СПИСОК РЕКОМЕНДУЕМОЙ литературЫ</w:t>
      </w:r>
    </w:p>
    <w:p w:rsidR="00606528" w:rsidRDefault="00606528" w:rsidP="00606528">
      <w:pPr>
        <w:tabs>
          <w:tab w:val="left" w:pos="1176"/>
        </w:tabs>
        <w:suppressAutoHyphens/>
        <w:ind w:firstLine="0"/>
        <w:jc w:val="center"/>
        <w:rPr>
          <w:caps/>
        </w:rPr>
      </w:pPr>
    </w:p>
    <w:p w:rsidR="00606528" w:rsidRDefault="00606528" w:rsidP="00606528">
      <w:pPr>
        <w:jc w:val="center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ОСНОВНАЯ</w:t>
      </w:r>
    </w:p>
    <w:p w:rsidR="00606528" w:rsidRDefault="00606528" w:rsidP="00606528">
      <w:pPr>
        <w:jc w:val="center"/>
        <w:rPr>
          <w:rFonts w:eastAsia="Symbol"/>
          <w:sz w:val="24"/>
          <w:szCs w:val="24"/>
        </w:rPr>
      </w:pPr>
    </w:p>
    <w:p w:rsidR="00606528" w:rsidRDefault="00606528" w:rsidP="00606528">
      <w:pPr>
        <w:numPr>
          <w:ilvl w:val="0"/>
          <w:numId w:val="11"/>
        </w:numPr>
        <w:tabs>
          <w:tab w:val="left" w:pos="1080"/>
        </w:tabs>
        <w:spacing w:after="60"/>
        <w:ind w:left="0" w:firstLine="720"/>
        <w:jc w:val="both"/>
        <w:rPr>
          <w:lang w:eastAsia="ru-RU"/>
        </w:rPr>
      </w:pPr>
      <w:r>
        <w:rPr>
          <w:spacing w:val="-8"/>
          <w:lang w:eastAsia="ru-RU"/>
        </w:rPr>
        <w:t>Матвеев</w:t>
      </w:r>
      <w:r>
        <w:rPr>
          <w:lang w:eastAsia="ru-RU"/>
        </w:rPr>
        <w:t xml:space="preserve"> Л. П. Общая теория спорта и ее прикладные аспекты : учеб. </w:t>
      </w:r>
      <w:r>
        <w:rPr>
          <w:spacing w:val="-4"/>
          <w:lang w:eastAsia="ru-RU"/>
        </w:rPr>
        <w:t>по направлениям подгот. магистратуры 49.04.01 – «Физ. культура» и 49.04.03 –</w:t>
      </w:r>
      <w:r>
        <w:rPr>
          <w:spacing w:val="-2"/>
          <w:lang w:eastAsia="ru-RU"/>
        </w:rPr>
        <w:t xml:space="preserve"> «Спорт», а также аспирантуры 49.06.01 – «Физ. Культура» / Л. П. Матвеев. –</w:t>
      </w:r>
      <w:r>
        <w:rPr>
          <w:lang w:eastAsia="ru-RU"/>
        </w:rPr>
        <w:t xml:space="preserve"> 6-е изд. – М. : Спорт, 2019. </w:t>
      </w:r>
      <w:r>
        <w:t xml:space="preserve">– </w:t>
      </w:r>
      <w:r>
        <w:rPr>
          <w:lang w:eastAsia="ru-RU"/>
        </w:rPr>
        <w:t>342  с.</w:t>
      </w:r>
    </w:p>
    <w:p w:rsidR="00606528" w:rsidRDefault="00606528" w:rsidP="00606528">
      <w:pPr>
        <w:numPr>
          <w:ilvl w:val="0"/>
          <w:numId w:val="11"/>
        </w:numPr>
        <w:tabs>
          <w:tab w:val="left" w:pos="1080"/>
        </w:tabs>
        <w:spacing w:after="60"/>
        <w:ind w:left="0" w:firstLine="720"/>
        <w:jc w:val="both"/>
        <w:rPr>
          <w:lang w:eastAsia="ru-RU"/>
        </w:rPr>
      </w:pPr>
      <w:r>
        <w:rPr>
          <w:spacing w:val="-8"/>
          <w:lang w:eastAsia="ru-RU"/>
        </w:rPr>
        <w:t>Платонов</w:t>
      </w:r>
      <w:r>
        <w:rPr>
          <w:lang w:eastAsia="ru-RU"/>
        </w:rPr>
        <w:t xml:space="preserve"> В. Н. Система подготовки спортсменов в олимпийском спорте. Общая теория и ее практические приложения : учеб. для тренеров : в </w:t>
      </w:r>
      <w:r>
        <w:rPr>
          <w:lang w:eastAsia="ru-RU"/>
        </w:rPr>
        <w:br/>
        <w:t xml:space="preserve">2 кн. / В. Н. Платонов. – Киев : Олимпийская литература, 2015. – 2 Кн. </w:t>
      </w:r>
    </w:p>
    <w:p w:rsidR="00606528" w:rsidRDefault="00606528" w:rsidP="00606528">
      <w:pPr>
        <w:numPr>
          <w:ilvl w:val="0"/>
          <w:numId w:val="11"/>
        </w:numPr>
        <w:tabs>
          <w:tab w:val="left" w:pos="1080"/>
        </w:tabs>
        <w:spacing w:after="60"/>
        <w:ind w:left="0" w:firstLine="720"/>
        <w:jc w:val="both"/>
        <w:rPr>
          <w:rFonts w:eastAsia="Symbol"/>
        </w:rPr>
      </w:pPr>
      <w:r w:rsidRPr="00D41E88">
        <w:rPr>
          <w:lang w:eastAsia="ru-RU"/>
        </w:rPr>
        <w:t>Граевская</w:t>
      </w:r>
      <w:r w:rsidRPr="00D41E88">
        <w:rPr>
          <w:bCs/>
        </w:rPr>
        <w:t xml:space="preserve"> Н. Д.</w:t>
      </w:r>
      <w:r>
        <w:t> Спортивная медицина : курс лекций и практ. занятия : учеб. пособие / Н. Д. Граевская, Т. И. Долматова. – М. : Спорт : Человек, 2018. – 712 с.</w:t>
      </w:r>
    </w:p>
    <w:p w:rsidR="00606528" w:rsidRDefault="00606528" w:rsidP="00606528">
      <w:pPr>
        <w:tabs>
          <w:tab w:val="left" w:pos="1080"/>
        </w:tabs>
        <w:spacing w:before="120"/>
        <w:jc w:val="center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ДОПОЛНИТЕЛЬНАЯ</w:t>
      </w:r>
    </w:p>
    <w:p w:rsidR="00606528" w:rsidRDefault="00606528" w:rsidP="00606528">
      <w:pPr>
        <w:tabs>
          <w:tab w:val="left" w:pos="1080"/>
        </w:tabs>
        <w:jc w:val="center"/>
        <w:rPr>
          <w:rFonts w:eastAsia="Symbol"/>
        </w:rPr>
      </w:pP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t xml:space="preserve">Бондарчук, А. С. Управление тренировочным процессом </w:t>
      </w:r>
      <w:r>
        <w:rPr>
          <w:spacing w:val="-2"/>
        </w:rPr>
        <w:t>спортсменов высокого класса / А. С. Бондарчук. – М. : Олимпия пресс, 2007. –</w:t>
      </w:r>
      <w:r>
        <w:t> 272 с.</w:t>
      </w: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t xml:space="preserve">Бреслав И. С. Дыхание и мышечная активность человека в спорте : рук. для изучающих физиологию человека / И. С. Бреслав, Н. И. Волков, </w:t>
      </w:r>
      <w:r>
        <w:br/>
        <w:t>Р. В. Тамбовцева. – М. : Советский спорт, 2013. – 333 с.</w:t>
      </w: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rPr>
          <w:bCs/>
        </w:rPr>
        <w:t>Верхошанский Ю. В.</w:t>
      </w:r>
      <w:r>
        <w:t xml:space="preserve"> Основы специальной силовой подготовки в спорте / Ю. В. Верхошанский. – [3-е изд.]. – М. : Советский спорт, 2013. – </w:t>
      </w:r>
      <w:r>
        <w:br/>
        <w:t>216 c.</w:t>
      </w: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t>Верхошанский Ю. В. Программирование и организация тренировочного процесса / Ю. В. Верхошанский. – М. :</w:t>
      </w:r>
      <w:r>
        <w:rPr>
          <w:lang w:val="en-US"/>
        </w:rPr>
        <w:t>C</w:t>
      </w:r>
      <w:r>
        <w:t>порт, 2019. – 184 с.</w:t>
      </w: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t xml:space="preserve">Городничев Р. М. Физиология силы / Р. М. Городничев, </w:t>
      </w:r>
      <w:r>
        <w:br/>
        <w:t>В. Н. Шляхтов. – М. : Спорт, 2016. – 232 с.</w:t>
      </w: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t>Городничев P. M. Спортивная электронейромиография : монография / P. M. Городничев. – Великие Луки : ВЛГАФК, 2005. – 229 с.</w:t>
      </w: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t>Занковец В. Э. Энциклопедия тестирований / В. Э. Занковец. – М. : Спорт, 2016. – 456 с.</w:t>
      </w: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t>Земцова И. И. Спортивная физиология : учеб. пособие для студ. вузов / И. И. Земцова. – Киев : Олимпийская литература, 2010. – 220 с.</w:t>
      </w: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t>Иссурин В. Б. Подготовка спортсменов XXI века: научные основы и построение тренировки / В. Б. Иссурин. – М. : Спорт, 2019. – 464 с.</w:t>
      </w: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t>Круцевич Т. Ю. Контроль в физическом воспитании детей, подростков и юношей : учеб. пособие для студентов высш. учеб. заведений физ. воспитания и спорта / Т. Ю. Круцевич, М. И. Воробьев. – Киев : Полиграф-Експресс, 2005. – 195 с.</w:t>
      </w: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lastRenderedPageBreak/>
        <w:t>Макарова Г. А. Лабораторные показатели в практике спортивного врача : справ. рук. / Г. А. Макарова, Ю. А. Холявко. – М. : Советский спорт, 2006. – 200 с.</w:t>
      </w: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t xml:space="preserve">Мартиросов Э. Г. Технологии и методы определения состава тела </w:t>
      </w:r>
      <w:r>
        <w:rPr>
          <w:spacing w:val="-4"/>
        </w:rPr>
        <w:t>человека / Э. Г. Мартиросов, Д. В. Николаев, С. Г. Руднев. – М. : Наука, 2006. –</w:t>
      </w:r>
      <w:r>
        <w:t xml:space="preserve"> 248 с.</w:t>
      </w:r>
    </w:p>
    <w:p w:rsidR="00606528" w:rsidRPr="0041495E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 w:rsidRPr="0041495E">
        <w:t>Мобильные многоканальные ЭМГ-системы в оценке подготовленности спортсменов : монография // Н. А. Парамонова [и др.] ; под ред. В. Е. Васюка ; Белорус. гос. ун-т физ. к</w:t>
      </w:r>
      <w:r>
        <w:t>ультуры. – Минск : БГУФК, 2022. </w:t>
      </w:r>
      <w:r w:rsidRPr="0041495E">
        <w:t>– 134 с. : ил.</w:t>
      </w: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t xml:space="preserve">Обзор российского и мирового рынков высокотехнологичных носимых устройств [Электронный ресурс] // ИКТ Аналитика на </w:t>
      </w:r>
      <w:proofErr w:type="spellStart"/>
      <w:r>
        <w:rPr>
          <w:lang w:val="en-US"/>
        </w:rPr>
        <w:t>json</w:t>
      </w:r>
      <w:proofErr w:type="spellEnd"/>
      <w:r>
        <w:t xml:space="preserve">. </w:t>
      </w:r>
      <w:proofErr w:type="spellStart"/>
      <w:r>
        <w:rPr>
          <w:lang w:val="en-US"/>
        </w:rPr>
        <w:t>tv</w:t>
      </w:r>
      <w:proofErr w:type="spellEnd"/>
      <w:r>
        <w:t xml:space="preserve">. – Режим доступа: </w:t>
      </w:r>
      <w:hyperlink r:id="rId6" w:history="1">
        <w:r>
          <w:rPr>
            <w:rStyle w:val="a9"/>
          </w:rPr>
          <w:t>http://json.tv/ict_telecom_analytics_view/obzor-rossiyskogo-i-mirovogo-rynkov-vysokotehnologichnyh-nosimyh-ustroystv-20150225120432</w:t>
        </w:r>
      </w:hyperlink>
      <w:r>
        <w:t>. – Дата доступа: 27.06.2022.</w:t>
      </w:r>
    </w:p>
    <w:p w:rsidR="00606528" w:rsidRPr="00A37247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 w:rsidRPr="00A37247">
        <w:t>Платонов В. Н. Двигательные качества и физическая подготовка спортсменов [Электронный ресурс] : монография / В. Н. Платонов. – М. : Спорт., 2019. – 656 с.</w:t>
      </w: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t>Приходько В. И. Оценка функционального состояния системы внешнего дыхания у спортсменов : метод рекомендации для студентов, тренеров, врачей. – Минск : [б. и.], 1999. – 18 с.</w:t>
      </w: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t>Продажи «умных» часов и браслетов в России в 2018 году [Электронный ресурс]. – Режим доступа: chasov-i-brasletov-v-rossii-vyrosli-vdvoe-v-pervyh-treh-kvartalah-2018-goda. – Дата доступа: 27.06.2022.</w:t>
      </w:r>
    </w:p>
    <w:p w:rsidR="00606528" w:rsidRDefault="00606528" w:rsidP="00606528">
      <w:pPr>
        <w:numPr>
          <w:ilvl w:val="0"/>
          <w:numId w:val="11"/>
        </w:numPr>
        <w:tabs>
          <w:tab w:val="left" w:pos="1080"/>
        </w:tabs>
        <w:autoSpaceDE w:val="0"/>
        <w:autoSpaceDN w:val="0"/>
        <w:spacing w:after="60"/>
        <w:ind w:left="0" w:firstLine="720"/>
        <w:jc w:val="both"/>
      </w:pPr>
      <w:r>
        <w:t xml:space="preserve"> Психофизиология : учебник / под ред. Ю. И. Александрова. – 3-е изд., доп. и перераб. – СПб. : Питер, 2007. – 464 с.</w:t>
      </w: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t xml:space="preserve">Родионов А. В. Психодиагностика спортивных способностей / </w:t>
      </w:r>
      <w:r>
        <w:br/>
        <w:t>А. В. Родионов. – М. : Физкультура и спорт, 1973. – 216 с.</w:t>
      </w: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t>Сотский Н. Б. Биомеханика : учеб. для студентов / Н. Б. Сотский. – 2-е изд., испр. и доп. – Минск : БГУФК, 2005. – 192 с.</w:t>
      </w: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t xml:space="preserve">Уилмор Дж. Х. Физиология спорта и двигательной активности / </w:t>
      </w:r>
      <w:r>
        <w:br/>
        <w:t>Дж. Х. Уилмор, Д. Л. Костилл. – Киев : Олимпийская литература, 1997. – 504 с.</w:t>
      </w:r>
    </w:p>
    <w:p w:rsidR="00606528" w:rsidRDefault="00606528" w:rsidP="00606528">
      <w:pPr>
        <w:numPr>
          <w:ilvl w:val="0"/>
          <w:numId w:val="11"/>
        </w:numPr>
        <w:tabs>
          <w:tab w:val="left" w:pos="1134"/>
        </w:tabs>
        <w:spacing w:after="60"/>
        <w:ind w:left="0" w:firstLine="720"/>
        <w:jc w:val="both"/>
      </w:pPr>
      <w:r>
        <w:t>Физиологическое тестирование спортсмена высокого класса / под ред. Дж. Дункана Мак-Дугалла, Говарда Э. Уэнгера, Говарда Дж. Грина . – Киев : Олимпийская литература, 1998. – 432 с.</w:t>
      </w:r>
    </w:p>
    <w:p w:rsidR="00852DFC" w:rsidRPr="00606528" w:rsidRDefault="00852DFC" w:rsidP="00260B0F">
      <w:pPr>
        <w:spacing w:after="120"/>
        <w:ind w:firstLine="709"/>
        <w:jc w:val="both"/>
      </w:pPr>
    </w:p>
    <w:sectPr w:rsidR="00852DFC" w:rsidRPr="0060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3FE6"/>
    <w:multiLevelType w:val="hybridMultilevel"/>
    <w:tmpl w:val="1FF8E426"/>
    <w:lvl w:ilvl="0" w:tplc="B61828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B1CE4"/>
    <w:multiLevelType w:val="hybridMultilevel"/>
    <w:tmpl w:val="310845C8"/>
    <w:lvl w:ilvl="0" w:tplc="78860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A458B"/>
    <w:multiLevelType w:val="hybridMultilevel"/>
    <w:tmpl w:val="FB9EA8BE"/>
    <w:lvl w:ilvl="0" w:tplc="0CFEEE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8A4BA7"/>
    <w:multiLevelType w:val="hybridMultilevel"/>
    <w:tmpl w:val="D340BFFC"/>
    <w:lvl w:ilvl="0" w:tplc="3F76D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B3493A"/>
    <w:multiLevelType w:val="hybridMultilevel"/>
    <w:tmpl w:val="EEFCBE4A"/>
    <w:lvl w:ilvl="0" w:tplc="0C6E4A8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CD2456"/>
    <w:multiLevelType w:val="hybridMultilevel"/>
    <w:tmpl w:val="6A1889D8"/>
    <w:lvl w:ilvl="0" w:tplc="FF2C0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F3401E"/>
    <w:multiLevelType w:val="hybridMultilevel"/>
    <w:tmpl w:val="27DC8DE0"/>
    <w:lvl w:ilvl="0" w:tplc="DFBE2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1F121E"/>
    <w:multiLevelType w:val="hybridMultilevel"/>
    <w:tmpl w:val="5BB8F9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D56758"/>
    <w:multiLevelType w:val="hybridMultilevel"/>
    <w:tmpl w:val="9B883720"/>
    <w:lvl w:ilvl="0" w:tplc="78860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A4B6B"/>
    <w:multiLevelType w:val="hybridMultilevel"/>
    <w:tmpl w:val="E28A881E"/>
    <w:lvl w:ilvl="0" w:tplc="2116B5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EF435F2"/>
    <w:multiLevelType w:val="hybridMultilevel"/>
    <w:tmpl w:val="88A46992"/>
    <w:lvl w:ilvl="0" w:tplc="84C4F9A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AF"/>
    <w:rsid w:val="00001CFF"/>
    <w:rsid w:val="00260B0F"/>
    <w:rsid w:val="002E3EAF"/>
    <w:rsid w:val="002F704C"/>
    <w:rsid w:val="00457F87"/>
    <w:rsid w:val="00480D47"/>
    <w:rsid w:val="005F2C2C"/>
    <w:rsid w:val="00606528"/>
    <w:rsid w:val="00612D41"/>
    <w:rsid w:val="006805C3"/>
    <w:rsid w:val="00852DFC"/>
    <w:rsid w:val="00896847"/>
    <w:rsid w:val="00911900"/>
    <w:rsid w:val="00AE7539"/>
    <w:rsid w:val="00B4771D"/>
    <w:rsid w:val="00B55849"/>
    <w:rsid w:val="00B62B5F"/>
    <w:rsid w:val="00B7152A"/>
    <w:rsid w:val="00C6614E"/>
    <w:rsid w:val="00D4183E"/>
    <w:rsid w:val="00E4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2B5A"/>
  <w15:chartTrackingRefBased/>
  <w15:docId w15:val="{B9692C89-24C4-4AF6-981A-077FB96F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be-BY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AF"/>
    <w:pPr>
      <w:ind w:left="720"/>
      <w:contextualSpacing/>
    </w:pPr>
  </w:style>
  <w:style w:type="paragraph" w:customStyle="1" w:styleId="a4">
    <w:name w:val="Знак Знак Знак"/>
    <w:basedOn w:val="a"/>
    <w:autoRedefine/>
    <w:rsid w:val="00260B0F"/>
    <w:pPr>
      <w:spacing w:after="160" w:line="240" w:lineRule="exact"/>
      <w:ind w:left="360" w:firstLine="0"/>
    </w:pPr>
    <w:rPr>
      <w:rFonts w:eastAsia="Times New Roman"/>
      <w:szCs w:val="28"/>
      <w:lang w:val="en-US"/>
    </w:rPr>
  </w:style>
  <w:style w:type="character" w:customStyle="1" w:styleId="a5">
    <w:name w:val="Заголовок Знак"/>
    <w:link w:val="a6"/>
    <w:rsid w:val="00260B0F"/>
    <w:rPr>
      <w:rFonts w:eastAsia="Times New Roman"/>
      <w:b/>
    </w:rPr>
  </w:style>
  <w:style w:type="paragraph" w:styleId="a6">
    <w:name w:val="Title"/>
    <w:basedOn w:val="a"/>
    <w:link w:val="a5"/>
    <w:qFormat/>
    <w:rsid w:val="00260B0F"/>
    <w:pPr>
      <w:ind w:firstLine="0"/>
      <w:jc w:val="center"/>
    </w:pPr>
    <w:rPr>
      <w:rFonts w:eastAsia="Times New Roman"/>
      <w:b/>
    </w:rPr>
  </w:style>
  <w:style w:type="character" w:customStyle="1" w:styleId="1">
    <w:name w:val="Заголовок Знак1"/>
    <w:basedOn w:val="a0"/>
    <w:uiPriority w:val="10"/>
    <w:rsid w:val="00260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basedOn w:val="a"/>
    <w:next w:val="a6"/>
    <w:link w:val="a8"/>
    <w:qFormat/>
    <w:rsid w:val="00D4183E"/>
    <w:pPr>
      <w:tabs>
        <w:tab w:val="left" w:pos="624"/>
      </w:tabs>
      <w:ind w:left="108" w:firstLine="0"/>
      <w:jc w:val="center"/>
    </w:pPr>
    <w:rPr>
      <w:b/>
      <w:color w:val="000000"/>
      <w:szCs w:val="24"/>
    </w:rPr>
  </w:style>
  <w:style w:type="character" w:customStyle="1" w:styleId="a8">
    <w:name w:val="Название Знак"/>
    <w:link w:val="a7"/>
    <w:rsid w:val="00D4183E"/>
    <w:rPr>
      <w:b/>
      <w:color w:val="000000"/>
      <w:sz w:val="28"/>
      <w:szCs w:val="24"/>
    </w:rPr>
  </w:style>
  <w:style w:type="character" w:styleId="a9">
    <w:name w:val="Hyperlink"/>
    <w:uiPriority w:val="99"/>
    <w:unhideWhenUsed/>
    <w:rsid w:val="00606528"/>
    <w:rPr>
      <w:color w:val="0000FF"/>
      <w:u w:val="single"/>
    </w:rPr>
  </w:style>
  <w:style w:type="paragraph" w:customStyle="1" w:styleId="aa">
    <w:name w:val=" Знак Знак Знак"/>
    <w:basedOn w:val="a"/>
    <w:rsid w:val="006805C3"/>
    <w:pPr>
      <w:spacing w:after="160" w:line="240" w:lineRule="exact"/>
      <w:ind w:left="360" w:firstLine="0"/>
    </w:pPr>
    <w:rPr>
      <w:rFonts w:eastAsia="Times New Roman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son.tv/ict_telecom_analytics_view/obzor-rossiyskogo-i-mirovogo-rynkov-vysokotehnologichnyh-nosimyh-ustroystv-201502251204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BB4BF-C957-48C5-8EE9-58D73FE0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Enginner</dc:creator>
  <cp:keywords/>
  <dc:description/>
  <cp:lastModifiedBy>user</cp:lastModifiedBy>
  <cp:revision>14</cp:revision>
  <dcterms:created xsi:type="dcterms:W3CDTF">2020-10-19T13:51:00Z</dcterms:created>
  <dcterms:modified xsi:type="dcterms:W3CDTF">2023-11-09T09:38:00Z</dcterms:modified>
</cp:coreProperties>
</file>