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B6734" w14:textId="77777777" w:rsidR="003B7826" w:rsidRPr="002F5ED2" w:rsidRDefault="003B7826" w:rsidP="00CD04FC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  <w:t>УТВЕРЖДЕНО</w:t>
      </w:r>
    </w:p>
    <w:p w14:paraId="00E30E3C" w14:textId="77777777" w:rsidR="003B7826" w:rsidRPr="002F5ED2" w:rsidRDefault="003B7826" w:rsidP="00CD04FC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  <w:t xml:space="preserve">на заседании кафедры </w:t>
      </w:r>
    </w:p>
    <w:p w14:paraId="21A5CD32" w14:textId="77777777" w:rsidR="003B7826" w:rsidRPr="002F5ED2" w:rsidRDefault="003B7826" w:rsidP="00CD04FC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  <w:t>футбола и хоккея</w:t>
      </w:r>
    </w:p>
    <w:p w14:paraId="70BDAFE2" w14:textId="77777777" w:rsidR="003B7826" w:rsidRPr="002F5ED2" w:rsidRDefault="003B7826" w:rsidP="00CD04FC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  <w:t xml:space="preserve">от 08.09.2023 протокол № 2 </w:t>
      </w:r>
    </w:p>
    <w:p w14:paraId="381169B3" w14:textId="77777777" w:rsidR="003B7826" w:rsidRPr="002F5ED2" w:rsidRDefault="003B7826" w:rsidP="00CD04FC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</w:p>
    <w:p w14:paraId="0F10CC2D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ПРОГРАММНЫЕ ЗАЧЕТНО-ЭКЗАМЕНАЦИОННЫЕ ТРЕБОВАНИЯ</w:t>
      </w:r>
    </w:p>
    <w:p w14:paraId="12758D27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по учебной дисциплине:</w:t>
      </w:r>
    </w:p>
    <w:p w14:paraId="42B4CA7D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«Основы теории и методики в избранном виде спорта»</w:t>
      </w:r>
    </w:p>
    <w:p w14:paraId="2CC8F587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по направлению специальности 1-88 02 01-01</w:t>
      </w:r>
    </w:p>
    <w:p w14:paraId="348006E6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«Спортивно-педагогическая деятельность (тренерская работа по футболу)»</w:t>
      </w:r>
    </w:p>
    <w:p w14:paraId="1B2D571F" w14:textId="41CBC1AD" w:rsidR="00AB7601" w:rsidRPr="00AB7601" w:rsidRDefault="00AB7601" w:rsidP="00AB7601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AB7601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для студентов </w:t>
      </w:r>
      <w:r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</w:t>
      </w:r>
      <w:r w:rsidRPr="00AB7601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-го курса дневной формы получения образования</w:t>
      </w:r>
    </w:p>
    <w:p w14:paraId="0C36B237" w14:textId="77777777" w:rsidR="00025109" w:rsidRPr="002F5ED2" w:rsidRDefault="00025109" w:rsidP="00025109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bookmarkStart w:id="0" w:name="_GoBack"/>
      <w:bookmarkEnd w:id="0"/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на 2023/2024 учебный год</w:t>
      </w:r>
    </w:p>
    <w:p w14:paraId="2E956AA4" w14:textId="77777777" w:rsidR="003B7826" w:rsidRPr="002F5ED2" w:rsidRDefault="003B7826" w:rsidP="009E287D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</w:p>
    <w:p w14:paraId="3528DB30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bCs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bCs/>
          <w:color w:val="000000" w:themeColor="text1"/>
          <w:sz w:val="28"/>
          <w:szCs w:val="28"/>
          <w:lang w:val="ru-RU" w:eastAsia="ru-RU"/>
        </w:rPr>
        <w:t>Вопросы по теоретическому разделу</w:t>
      </w:r>
    </w:p>
    <w:p w14:paraId="7B6D9075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</w:p>
    <w:p w14:paraId="354BD868" w14:textId="77777777" w:rsidR="00A71674" w:rsidRPr="002F5ED2" w:rsidRDefault="00C1408F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Общая характеристика тактики, классификация тактики, эволюция тактики, характерные особенности тактики современного футбола.</w:t>
      </w:r>
    </w:p>
    <w:p w14:paraId="39B9EA05" w14:textId="77777777" w:rsidR="00A71674" w:rsidRPr="002F5ED2" w:rsidRDefault="00C1408F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Основы методики обучения и совершенствования тактики: задачи, средства (игровые технико-тактические, игровые тактико-технические упражнения), методы (строго регламентированный, игровой, соревновательный), формы организации учебно-тренировочного процесса (урок и неурочные формы, комплексные и тематические занятия, групповые и индивидуальные занятия).</w:t>
      </w:r>
    </w:p>
    <w:p w14:paraId="2C538C4C" w14:textId="77777777" w:rsidR="003B7826" w:rsidRPr="002F5ED2" w:rsidRDefault="00C1408F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Планирование средств тактической подготовки в отдельном занятии, микроцикле, этапе, периоде, годичном цикле, многолетнем цикле</w:t>
      </w:r>
      <w:r w:rsidR="009E287D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1C3A0838" w14:textId="77777777" w:rsidR="00A71674" w:rsidRPr="002F5ED2" w:rsidRDefault="00C1408F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Общая характеристика тактической подготовки полевых игроков. Функциональные обязанности игроков линии защиты, средней линии и линии нападения.</w:t>
      </w:r>
    </w:p>
    <w:p w14:paraId="795A0031" w14:textId="77777777" w:rsidR="00A71674" w:rsidRPr="002F5ED2" w:rsidRDefault="00C1408F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Общая характеристика индивидуальных тактических действий в нападении и защите.</w:t>
      </w:r>
    </w:p>
    <w:p w14:paraId="0CC64C51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6.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Общая характеристика групповых тактических действий в нападении и защите. </w:t>
      </w:r>
    </w:p>
    <w:p w14:paraId="2E6A8449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7.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Общая характеристика командных тактических действий в нападении и защите</w:t>
      </w:r>
      <w:r w:rsidR="009E287D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4761BB96" w14:textId="77777777" w:rsidR="008627A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8.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без мяча – открывание: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0B6645E2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9.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без мяча – отвлечение соперника: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6D93A127" w14:textId="77777777" w:rsidR="008627A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10.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без мяча – создание численного преимущества: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539A3BE5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11.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с мячом – ведение: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5EF89B3A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12.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с мячом – обводка: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0267F483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lastRenderedPageBreak/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13.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с мячом – удары по воротам: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691C0367" w14:textId="77777777" w:rsidR="00C1408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с мячом – передачи: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72BB8100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15.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без мяча – закрывание: характеристика, применение. Методика обучения и совершенствования.</w:t>
      </w:r>
    </w:p>
    <w:p w14:paraId="1E50D423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16.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без мяча – перехват: характеристика, применение. Методика обучения и совершенствования.</w:t>
      </w:r>
    </w:p>
    <w:p w14:paraId="1DE7155D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17.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с мячом– отбор: характеристика, применение. Методика обучения и совершенствования.</w:t>
      </w:r>
    </w:p>
    <w:p w14:paraId="452B51AC" w14:textId="77777777" w:rsidR="00C1408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18.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с мячом – противодействие передаче: характеристика, применение. Методика обучения и совершенствования.</w:t>
      </w:r>
    </w:p>
    <w:p w14:paraId="29E918DD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19.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с мячом – противодействие выходу с мячом на острую позицию: характеристика, применение. Методика обучения и совершенствования.</w:t>
      </w:r>
    </w:p>
    <w:p w14:paraId="6E6BA6E8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20.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с мячом – противодействие ударам: характеристика, применение. Методика обучения и совершенствования</w:t>
      </w:r>
      <w:r w:rsidR="00C729AB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32EEFD34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21.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Комбинации при стандартных положениях (вбрасывание мяча из-за боковой линии, угловой удар, штрафной удар, свободный удар, удар от ворот).</w:t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 комбинаций при стандартных положениях.</w:t>
      </w:r>
    </w:p>
    <w:p w14:paraId="15749586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22.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Комбинации в игровых эпизодах в парах: «в стенку», «скрещивание», «передача в одно касание». Методика обучения и совершенствования комбинаций «в стенку», «скрещивание», «передача в одно касание».</w:t>
      </w:r>
    </w:p>
    <w:p w14:paraId="34990328" w14:textId="77777777" w:rsidR="00C1408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23.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Комбинации в игровых эпизодах в тройках: «взаимозаменяемость», «пропускание мяча», «передача в одно касание». Методика обучения и совершенствования комбинаций «взаимозаменяемость», «пропускание мяча», «передача в одно касание»</w:t>
      </w:r>
      <w:r w:rsidR="00C729AB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6D1AE853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Взаимодействие двух игроков в защите: противодействие комбинации «в стенку», противодействие комбинации «скрещивание», противодействие комбинации «пропуск мяча».</w:t>
      </w:r>
    </w:p>
    <w:p w14:paraId="3C4FAD57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25.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 противодействий комбинации «в стенку», «скрещивание», «пропуск мяча».</w:t>
      </w:r>
    </w:p>
    <w:p w14:paraId="57B9BFBD" w14:textId="77777777" w:rsidR="00A71674" w:rsidRPr="002F5ED2" w:rsidRDefault="00165615" w:rsidP="00CD04FC">
      <w:pPr>
        <w:spacing w:after="0" w:line="240" w:lineRule="auto"/>
        <w:ind w:firstLine="258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26.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Взаимодействие нескольких игроков в защите: построение «стенки». Методика обучения и совершенствования построения «стенки».</w:t>
      </w:r>
    </w:p>
    <w:p w14:paraId="0BFDAD66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27.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Взаимодействие нескольких игроков в защите: создание искусственного положения «вне игры».</w:t>
      </w:r>
    </w:p>
    <w:p w14:paraId="1DF1DF93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28.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Быстрое нападение – способ атакующих действий команды. Фазы быстрого нападения: начальная фаза, развитие атаки, завершение атаки.</w:t>
      </w:r>
    </w:p>
    <w:p w14:paraId="631AC2BF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29.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силовых и скоростно-силовых способностей футболистов.</w:t>
      </w:r>
    </w:p>
    <w:p w14:paraId="14AE0A02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lastRenderedPageBreak/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30.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Основные средства развития силовых и скоростно-силовых способностей футболистов: упражнения с отягощениями с использованием тренажеров и подсобного оборудования.</w:t>
      </w:r>
    </w:p>
    <w:p w14:paraId="73C2A26D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31.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Методы развития силовых и скоростно-силовых способностей: повторных, максимальных и динамических усилий.</w:t>
      </w:r>
    </w:p>
    <w:p w14:paraId="0CDE162E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32.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Параметры нагрузки: величина отягощений, количество повторений в одной серии упражнений.</w:t>
      </w:r>
    </w:p>
    <w:p w14:paraId="3F058973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33.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Интервалы отдыха между отдельными повторениями упражнений, количество серий упражнений в зависимости от величины нагрузки тренировочного занятия (большой, средней, малой), интервалы отдыха между сериями упражнений.</w:t>
      </w:r>
    </w:p>
    <w:p w14:paraId="5276D718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Формы организации учебно-тренировочного процесса: урок и неурочные формы, комплексные и тематические занятия, групповые и индивидуальные занятия.</w:t>
      </w:r>
    </w:p>
    <w:p w14:paraId="34269726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35.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" w:name="_Hlk147838346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Планирование силовой и скоростно-силовой подготовки в учебно-тренировочном занятии, микроцикле (тренировочном, межигровом), периодах и этапах годичного цикла, в многолетнем цикле</w:t>
      </w:r>
      <w:r w:rsidR="00357439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bookmarkEnd w:id="1"/>
    <w:p w14:paraId="47816811" w14:textId="6918234A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36.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2" w:name="_Hlk147838361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скоростных способностей футболистов.</w:t>
      </w:r>
      <w:bookmarkEnd w:id="2"/>
    </w:p>
    <w:p w14:paraId="4A823728" w14:textId="362FC3D2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37.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3" w:name="_Hlk147838376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Основные средства развития скоростных способностей футболистов.</w:t>
      </w:r>
      <w:bookmarkEnd w:id="3"/>
    </w:p>
    <w:p w14:paraId="008AD15A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38.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4" w:name="_Hlk147838391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Методы развития скоростных способностей футболистов: метод строго регламентированного упражнения, игровой метод, соревновательный метод.</w:t>
      </w:r>
    </w:p>
    <w:bookmarkEnd w:id="4"/>
    <w:p w14:paraId="688E18AC" w14:textId="77777777" w:rsidR="00357439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39.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5" w:name="_Hlk147838475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Параметры нагрузки: интенсивность (скорость) выполнения упражнения, время однократного выполнения упражнения, количество повторений в одной серии упражнений, интервалы отдыха между отдельными повторениями упражнений</w:t>
      </w:r>
      <w:r w:rsidR="00357439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bookmarkEnd w:id="5"/>
    <w:p w14:paraId="2E557A6B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40.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6" w:name="_Hlk147838492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Формы организации учебно-тренировочного процесса: урок и неурочные формы, комплексные и тематические занятия, групповые и индивидуальные занятия.</w:t>
      </w:r>
    </w:p>
    <w:bookmarkEnd w:id="6"/>
    <w:p w14:paraId="20462A72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41.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7" w:name="_Hlk147838516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Планирование скоростной подготовки в учебно-тренировочном занятии, микроцикле (тренировочном, межигровом), периодах и этапах годичного цикла, в многолетнем цикле</w:t>
      </w:r>
      <w:r w:rsidR="00357439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bookmarkEnd w:id="7"/>
    <w:p w14:paraId="3ED72D82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42.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8" w:name="_Hlk147838530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общей (аэробной) выносливости футболистов.</w:t>
      </w:r>
    </w:p>
    <w:bookmarkEnd w:id="8"/>
    <w:p w14:paraId="5FF9A2C0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43.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9" w:name="_Hlk147838545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Основные средства развития общей (аэробной) выносливости футболистов: бег, другие упражнения циклического характера, специальные неигровые и игровые упражнения.</w:t>
      </w:r>
    </w:p>
    <w:bookmarkEnd w:id="9"/>
    <w:p w14:paraId="06E58761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0" w:name="_Hlk147838560"/>
      <w:bookmarkStart w:id="11" w:name="_Hlk147839354"/>
      <w:r w:rsidR="00E613E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Планирование средств развития гибкости в отдельном занятии, микроцикле, этапе, периоде, годичном цикле, многолетнем цикле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  <w:bookmarkEnd w:id="10"/>
    </w:p>
    <w:bookmarkEnd w:id="11"/>
    <w:p w14:paraId="2E874FBC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45.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2" w:name="_Hlk147838596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Параметры нагрузки: интенсивность (скорость) выполнения упражнения, время однократного выполнения упражнения, количество повторений в одной серии упражнений, интервалы отдыха между отдельными 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lastRenderedPageBreak/>
        <w:t>повторениями упражнений, количество серий упражнений в зависимости от величины нагрузки тренировочного занятия (большой, средней, малой), интервалы отдыха между сериями упражнений.</w:t>
      </w:r>
    </w:p>
    <w:bookmarkEnd w:id="12"/>
    <w:p w14:paraId="180A9B51" w14:textId="72DE0478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46.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3" w:name="_Hlk147838613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Формы организации учебно-тренировочного процесса: урок и неурочные формы, комплексные и тематические занятия, групповые и индивидуальные занятия.</w:t>
      </w:r>
      <w:bookmarkEnd w:id="13"/>
    </w:p>
    <w:p w14:paraId="69F538DB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47.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4" w:name="_Hlk147838632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Планирование средств развития общей (аэробной) выносливости в учебно-тренировочном занятии, микроцикле (тренировочном, межигровом), периодах и этапах годичного цикла, в многолетнем цикле</w:t>
      </w:r>
      <w:r w:rsidR="00357439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bookmarkEnd w:id="14"/>
    <w:p w14:paraId="7F931FDE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48.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5" w:name="_Hlk147838648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скоростной (анаэробной) выносливости футболистов. Основные средства развития скоростной (анаэробной) выносливости футболистов: бег, другие упражнения циклического характера, специальные неигровые и игровые упражнения.</w:t>
      </w:r>
    </w:p>
    <w:bookmarkEnd w:id="15"/>
    <w:p w14:paraId="4A3A8095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49.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6" w:name="_Hlk147838667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Методы развития скоростной (анаэробной) выносливости футболистов: метод строго регламентированного упражнения, игровой метод, соревновательный метод.</w:t>
      </w:r>
    </w:p>
    <w:bookmarkEnd w:id="16"/>
    <w:p w14:paraId="4163B490" w14:textId="77777777" w:rsidR="00165615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50.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7" w:name="_Hlk147838733"/>
      <w:r w:rsidR="00357439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гибкости футболистов.</w:t>
      </w:r>
    </w:p>
    <w:bookmarkEnd w:id="17"/>
    <w:p w14:paraId="2912C963" w14:textId="77777777" w:rsidR="009A1AF7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51.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E613E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Основы организации спортивно-оздоровительных лагерей. Документы, регламентирующие работу спортивно-оздоровительных лагерей</w:t>
      </w:r>
      <w:r w:rsidR="00FB35EA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 (Закон Республики Беларусь «О физической культуре и спорте»).</w:t>
      </w:r>
    </w:p>
    <w:p w14:paraId="50C4A2F8" w14:textId="77777777" w:rsidR="00A71674" w:rsidRPr="002F5ED2" w:rsidRDefault="009A1AF7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  <w:t>52.</w:t>
      </w:r>
      <w:bookmarkStart w:id="18" w:name="_Hlk147840955"/>
      <w:r w:rsidR="009D7BBE" w:rsidRPr="002F5ED2">
        <w:rPr>
          <w:rFonts w:cs="Times New Roman"/>
          <w:color w:val="000000" w:themeColor="text1"/>
          <w:sz w:val="28"/>
          <w:szCs w:val="28"/>
          <w:lang w:val="ru-RU"/>
        </w:rPr>
        <w:t> </w:t>
      </w:r>
      <w:r w:rsidRPr="002F5ED2">
        <w:rPr>
          <w:rFonts w:cs="Times New Roman"/>
          <w:color w:val="000000" w:themeColor="text1"/>
          <w:sz w:val="28"/>
          <w:szCs w:val="28"/>
          <w:lang w:val="ru-RU"/>
        </w:rPr>
        <w:t xml:space="preserve">Тестирование </w:t>
      </w:r>
      <w:r w:rsidR="00165615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как основной метод контроля физической подготовленности. Тесты контроля силы, быстроты, скоростно- силовых качеств, ловкости, общей, скоростной и специальной выносливости, гибкости.</w:t>
      </w:r>
    </w:p>
    <w:bookmarkEnd w:id="18"/>
    <w:p w14:paraId="22ACF34A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53.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9" w:name="_Hlk147840009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специальной выносливости футболистов.</w:t>
      </w:r>
    </w:p>
    <w:bookmarkEnd w:id="19"/>
    <w:p w14:paraId="5FFE26A3" w14:textId="6C83DD3D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54.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20" w:name="_Hlk147840034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Основные средства развития специальной выносливости футболистов: игры, игровые тактико-технические и технико-тактические упражнения. Методы развития специальной выносливости футболистов: соревновательный, игровой.</w:t>
      </w:r>
      <w:bookmarkEnd w:id="20"/>
    </w:p>
    <w:p w14:paraId="341D235E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55.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21" w:name="_Hlk147840056"/>
      <w:r w:rsidR="00FB35EA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Общие основы периодизации годичной подготовки спортсменов в футболе. Количество, продолжительность и место проведения учебно-тренировочных занятий.</w:t>
      </w:r>
    </w:p>
    <w:bookmarkEnd w:id="21"/>
    <w:p w14:paraId="5CE2930E" w14:textId="77777777" w:rsidR="008627A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56.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E613E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Цель и задачи деятельности спортивно-оздоровительных лагерей. Разновидности спортивно-оздоровительных лагерей.</w:t>
      </w:r>
    </w:p>
    <w:p w14:paraId="7B306BFB" w14:textId="77777777" w:rsidR="008627AF" w:rsidRPr="002F5ED2" w:rsidRDefault="00165615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57.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2" w:name="_Hlk147840085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Перечень должностей, связанных с осуществлением педагогической деятельности в сфере физической культуры и спорта.</w:t>
      </w:r>
    </w:p>
    <w:bookmarkEnd w:id="22"/>
    <w:p w14:paraId="0BAB6B9B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58.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3" w:name="_Hlk147840104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Правила безопасности при проведении занятий по физической культуре и спорту.</w:t>
      </w:r>
    </w:p>
    <w:bookmarkEnd w:id="23"/>
    <w:p w14:paraId="4A4BD0AE" w14:textId="77777777" w:rsidR="00A71674" w:rsidRPr="002F5ED2" w:rsidRDefault="00165615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59.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4" w:name="_Hlk147840118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Положение о воспитательно-оздоровительном учреждении образования. Положение о спортивно-оздоровительном лагере.</w:t>
      </w:r>
    </w:p>
    <w:bookmarkEnd w:id="24"/>
    <w:p w14:paraId="599185F7" w14:textId="77777777" w:rsidR="00A71674" w:rsidRPr="002F5ED2" w:rsidRDefault="00165615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lastRenderedPageBreak/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60.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5" w:name="_Hlk147840133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Суточные нормы питания при проведении спортивных мероприятий и для лиц, проходящих спортивную подготовку в спортивно-оздоровительных лагерях.</w:t>
      </w:r>
    </w:p>
    <w:bookmarkEnd w:id="25"/>
    <w:p w14:paraId="3ECD3E01" w14:textId="77777777" w:rsidR="00A71674" w:rsidRPr="002F5ED2" w:rsidRDefault="00165615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61.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6" w:name="_Hlk147840147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Положение о педагогическом совете спортивно-оздоровительного лагеря.</w:t>
      </w:r>
    </w:p>
    <w:bookmarkEnd w:id="26"/>
    <w:p w14:paraId="62D08E11" w14:textId="77777777" w:rsidR="00A71674" w:rsidRPr="002F5ED2" w:rsidRDefault="00165615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62.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7" w:name="_Hlk147840167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Инструкции по правилам пожарной безопасности, по мерам обеспечения выполнения санитарно-гигиенических требований, по организации купания занимающихся.</w:t>
      </w:r>
    </w:p>
    <w:bookmarkEnd w:id="27"/>
    <w:p w14:paraId="75E71CFB" w14:textId="77777777" w:rsidR="00CD04FC" w:rsidRPr="002F5ED2" w:rsidRDefault="00165615" w:rsidP="00CD04FC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63.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28" w:name="_Hlk147840185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Материально-техническое обеспечение работы спортивно-оздоровительного лагеря.</w:t>
      </w:r>
    </w:p>
    <w:bookmarkEnd w:id="28"/>
    <w:p w14:paraId="3E4FBE39" w14:textId="77777777" w:rsidR="00A71674" w:rsidRPr="002F5ED2" w:rsidRDefault="00CD04FC" w:rsidP="00CD04FC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64.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29" w:name="_Hlk147840200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Примерный перечень спортивного инвентаря и оборудования для стационарных оздоровительных лагерей. Финансирование спортивно-оздоровительных лагерей.</w:t>
      </w:r>
    </w:p>
    <w:bookmarkEnd w:id="29"/>
    <w:p w14:paraId="1441600F" w14:textId="77777777" w:rsidR="00CD04FC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65.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0" w:name="_Hlk147840215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Санитарно-гигиеническое обеспечение работы спортивно-оздоровительного лагеря. Санитарные нормы и правила. Требования к оздоровительным мероприятиям для детей.</w:t>
      </w:r>
    </w:p>
    <w:bookmarkEnd w:id="30"/>
    <w:p w14:paraId="2B0EE0A3" w14:textId="77777777" w:rsidR="008627AF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66.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1" w:name="_Hlk147840257"/>
      <w:bookmarkStart w:id="32" w:name="_Hlk147840231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Организация питания в условиях спортивно-оздоровительных лагерей.</w:t>
      </w:r>
    </w:p>
    <w:bookmarkEnd w:id="31"/>
    <w:p w14:paraId="74CCA81A" w14:textId="77777777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67.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3" w:name="_Hlk147840285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Требования к безопасности занимающихся во время пребывания в лесу, у водоемов, на территории</w:t>
      </w:r>
      <w:bookmarkEnd w:id="32"/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.</w:t>
      </w:r>
    </w:p>
    <w:bookmarkEnd w:id="33"/>
    <w:p w14:paraId="6A59D3F2" w14:textId="16C7E6B6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68.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4" w:name="_Hlk147840343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Планирующая документация в спортивно-оздоровительном лагере.</w:t>
      </w:r>
      <w:bookmarkEnd w:id="34"/>
    </w:p>
    <w:p w14:paraId="1324D757" w14:textId="4B974A32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69.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5" w:name="_Hlk147840388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Особенности регулирования труда работников организации физической культуры и спорта.</w:t>
      </w:r>
      <w:bookmarkEnd w:id="35"/>
    </w:p>
    <w:p w14:paraId="0765D1B7" w14:textId="77777777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70.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6" w:name="_Hlk147840425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План работы спортивно-оздоровительного лагеря. График проведения и тематика педагогических советов, методических занятий, рабочих совещаний.</w:t>
      </w:r>
    </w:p>
    <w:bookmarkEnd w:id="36"/>
    <w:p w14:paraId="682B1A4B" w14:textId="77777777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7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1</w:t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37" w:name="_Hlk147840443"/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Организация и формы идеологической и воспитательной работы, культурно-досуговых и спортивно-массовых мероприятий в спортивно-оздоровительном лагере.</w:t>
      </w:r>
    </w:p>
    <w:bookmarkEnd w:id="37"/>
    <w:p w14:paraId="589C8DA8" w14:textId="77777777" w:rsidR="00A71674" w:rsidRPr="002F5ED2" w:rsidRDefault="00CD04FC" w:rsidP="00CD04FC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7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</w:t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38" w:name="_Hlk147840473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Содержание планов идеологической, воспитательной и спортивно-массовой работы спортивно-оздоровительного лагеря.</w:t>
      </w:r>
    </w:p>
    <w:bookmarkEnd w:id="38"/>
    <w:p w14:paraId="08F33AC7" w14:textId="77777777" w:rsidR="00C1408F" w:rsidRPr="002F5ED2" w:rsidRDefault="00CD04FC" w:rsidP="00CD04FC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7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</w:t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39" w:name="_Hlk147840491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Количество, продолжительность и место проведения учебно-тренировочных занятий. Направленность, объем и интенсивность тренировочных нагрузок.</w:t>
      </w:r>
    </w:p>
    <w:bookmarkEnd w:id="39"/>
    <w:p w14:paraId="7622A87A" w14:textId="79D0BE52" w:rsidR="00A71674" w:rsidRPr="002F5ED2" w:rsidRDefault="00CD04FC" w:rsidP="00CD04FC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7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</w:t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40" w:name="_Hlk147840512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составления комплексов общеразвивающих упражнений для подготовительной части учебно-тренировочного занятия. Содержание организационно-методических указаний.</w:t>
      </w:r>
      <w:bookmarkEnd w:id="40"/>
    </w:p>
    <w:p w14:paraId="2AA63566" w14:textId="77777777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C1408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75.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41" w:name="_Hlk147840552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Организация проведения спортивных соревнований с занимающимися в спортивно-оздоровительном лагере</w:t>
      </w:r>
      <w:r w:rsidR="009A1AF7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.</w:t>
      </w:r>
    </w:p>
    <w:bookmarkEnd w:id="41"/>
    <w:p w14:paraId="1B555F2A" w14:textId="0712F6E2" w:rsidR="005766DB" w:rsidRPr="002F5ED2" w:rsidRDefault="005766DB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</w:p>
    <w:p w14:paraId="7D95FB6A" w14:textId="7DDAFE00" w:rsidR="00277237" w:rsidRPr="002F5ED2" w:rsidRDefault="00277237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</w:p>
    <w:p w14:paraId="554F46CD" w14:textId="5D5C099A" w:rsidR="00277237" w:rsidRPr="002F5ED2" w:rsidRDefault="00277237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</w:p>
    <w:p w14:paraId="2EE93EB3" w14:textId="45172621" w:rsidR="00277237" w:rsidRPr="002F5ED2" w:rsidRDefault="00277237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</w:p>
    <w:p w14:paraId="241E964F" w14:textId="77777777" w:rsidR="00277237" w:rsidRPr="002F5ED2" w:rsidRDefault="00277237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</w:p>
    <w:p w14:paraId="05247EB6" w14:textId="35308F39" w:rsidR="00B94CF8" w:rsidRPr="002F5ED2" w:rsidRDefault="00B94CF8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  <w:lastRenderedPageBreak/>
        <w:t>Требования по дифференцированному зачету в 4-м семестре</w:t>
      </w:r>
    </w:p>
    <w:p w14:paraId="0C392B37" w14:textId="77777777" w:rsidR="005766DB" w:rsidRPr="002F5ED2" w:rsidRDefault="005766DB" w:rsidP="00B94CF8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</w:p>
    <w:p w14:paraId="641DBAB9" w14:textId="6FB84B99" w:rsidR="00B94CF8" w:rsidRPr="002F5ED2" w:rsidRDefault="00B94CF8" w:rsidP="00B94CF8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Знать теоретический материал по темам:</w:t>
      </w:r>
    </w:p>
    <w:p w14:paraId="6391244C" w14:textId="37E46FA4" w:rsidR="00B94CF8" w:rsidRPr="002F5ED2" w:rsidRDefault="005766DB" w:rsidP="005766D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1.</w:t>
      </w:r>
      <w:r w:rsidR="001B5F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Тактика футбола, тактическая подготовка футболистов, контроль тактической подготовленности футболистов.</w:t>
      </w:r>
    </w:p>
    <w:p w14:paraId="522A5053" w14:textId="77D5F449" w:rsidR="00B94CF8" w:rsidRPr="002F5ED2" w:rsidRDefault="005766DB" w:rsidP="005766D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2.</w:t>
      </w:r>
      <w:r w:rsidR="001B5F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Физические качества, физическая подготовка, контроль физической подготовленности.</w:t>
      </w:r>
    </w:p>
    <w:p w14:paraId="3C585C64" w14:textId="1F8480AC" w:rsidR="00B94CF8" w:rsidRPr="002F5ED2" w:rsidRDefault="005766DB" w:rsidP="005766D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3.</w:t>
      </w:r>
      <w:r w:rsidR="001B5F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Проведение части тренировочного занятия по физической подготовке.</w:t>
      </w:r>
    </w:p>
    <w:p w14:paraId="46FBB533" w14:textId="77777777" w:rsidR="001B5F26" w:rsidRPr="002F5ED2" w:rsidRDefault="001B5F26" w:rsidP="00165615">
      <w:pPr>
        <w:spacing w:after="0" w:line="240" w:lineRule="auto"/>
        <w:rPr>
          <w:rFonts w:eastAsia="Calibri" w:cs="Times New Roman"/>
          <w:color w:val="000000" w:themeColor="text1"/>
          <w:sz w:val="28"/>
          <w:szCs w:val="28"/>
          <w:lang w:val="ru-RU"/>
        </w:rPr>
      </w:pPr>
    </w:p>
    <w:p w14:paraId="54F2F7CE" w14:textId="1F8B8861" w:rsidR="00CD04FC" w:rsidRPr="00063D16" w:rsidRDefault="00CD04FC" w:rsidP="00165615">
      <w:pPr>
        <w:spacing w:after="0" w:line="240" w:lineRule="auto"/>
        <w:rPr>
          <w:rFonts w:eastAsia="Calibri" w:cs="Times New Roman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Заведующий кафедрой футбола и хоккея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Pr="00063D16">
        <w:rPr>
          <w:rFonts w:eastAsia="Calibri" w:cs="Times New Roman"/>
          <w:sz w:val="28"/>
          <w:szCs w:val="28"/>
          <w:lang w:val="ru-RU"/>
        </w:rPr>
        <w:tab/>
        <w:t>И.К.Галуза</w:t>
      </w:r>
    </w:p>
    <w:sectPr w:rsidR="00CD04FC" w:rsidRPr="00063D16" w:rsidSect="00FE30F9">
      <w:headerReference w:type="default" r:id="rId6"/>
      <w:headerReference w:type="firs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4CDD2" w14:textId="77777777" w:rsidR="00464B56" w:rsidRDefault="00464B56" w:rsidP="00063D16">
      <w:pPr>
        <w:spacing w:after="0" w:line="240" w:lineRule="auto"/>
      </w:pPr>
      <w:r>
        <w:separator/>
      </w:r>
    </w:p>
  </w:endnote>
  <w:endnote w:type="continuationSeparator" w:id="0">
    <w:p w14:paraId="62E8F9DD" w14:textId="77777777" w:rsidR="00464B56" w:rsidRDefault="00464B56" w:rsidP="0006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E478D" w14:textId="77777777" w:rsidR="00464B56" w:rsidRDefault="00464B56" w:rsidP="00063D16">
      <w:pPr>
        <w:spacing w:after="0" w:line="240" w:lineRule="auto"/>
      </w:pPr>
      <w:r>
        <w:separator/>
      </w:r>
    </w:p>
  </w:footnote>
  <w:footnote w:type="continuationSeparator" w:id="0">
    <w:p w14:paraId="34AA0461" w14:textId="77777777" w:rsidR="00464B56" w:rsidRDefault="00464B56" w:rsidP="0006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0721315"/>
      <w:docPartObj>
        <w:docPartGallery w:val="Page Numbers (Top of Page)"/>
        <w:docPartUnique/>
      </w:docPartObj>
    </w:sdtPr>
    <w:sdtEndPr/>
    <w:sdtContent>
      <w:p w14:paraId="73293B98" w14:textId="23A0CC82" w:rsidR="005766DB" w:rsidRDefault="005766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D73CB56" w14:textId="55C12B40" w:rsidR="00063D16" w:rsidRPr="00FE30F9" w:rsidRDefault="00063D16" w:rsidP="00063D16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610C" w14:textId="0596A97D" w:rsidR="00FE30F9" w:rsidRDefault="00FE30F9">
    <w:pPr>
      <w:pStyle w:val="a3"/>
      <w:jc w:val="center"/>
    </w:pPr>
  </w:p>
  <w:p w14:paraId="64E72967" w14:textId="77777777" w:rsidR="00FE30F9" w:rsidRDefault="00FE30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4"/>
    <w:rsid w:val="00025109"/>
    <w:rsid w:val="00063D16"/>
    <w:rsid w:val="00165615"/>
    <w:rsid w:val="001B5F26"/>
    <w:rsid w:val="00277237"/>
    <w:rsid w:val="002F5ED2"/>
    <w:rsid w:val="00357439"/>
    <w:rsid w:val="003B51F2"/>
    <w:rsid w:val="003B7826"/>
    <w:rsid w:val="00464B56"/>
    <w:rsid w:val="005766DB"/>
    <w:rsid w:val="005E02A4"/>
    <w:rsid w:val="00607015"/>
    <w:rsid w:val="008627AF"/>
    <w:rsid w:val="009A1AF7"/>
    <w:rsid w:val="009D7BBE"/>
    <w:rsid w:val="009E287D"/>
    <w:rsid w:val="00A53C12"/>
    <w:rsid w:val="00A71674"/>
    <w:rsid w:val="00AB7601"/>
    <w:rsid w:val="00B104AB"/>
    <w:rsid w:val="00B94CF8"/>
    <w:rsid w:val="00BC3E03"/>
    <w:rsid w:val="00C07336"/>
    <w:rsid w:val="00C1408F"/>
    <w:rsid w:val="00C729AB"/>
    <w:rsid w:val="00CD04FC"/>
    <w:rsid w:val="00E613EC"/>
    <w:rsid w:val="00FB35EA"/>
    <w:rsid w:val="00FB4066"/>
    <w:rsid w:val="00F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5E4DF"/>
  <w15:chartTrackingRefBased/>
  <w15:docId w15:val="{2DE5C78F-C788-48B6-B369-4316919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30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D16"/>
  </w:style>
  <w:style w:type="paragraph" w:styleId="a5">
    <w:name w:val="footer"/>
    <w:basedOn w:val="a"/>
    <w:link w:val="a6"/>
    <w:uiPriority w:val="99"/>
    <w:unhideWhenUsed/>
    <w:rsid w:val="00063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Кленовская</dc:creator>
  <cp:keywords/>
  <dc:description/>
  <cp:lastModifiedBy>Наталья А. Кленовская</cp:lastModifiedBy>
  <cp:revision>13</cp:revision>
  <dcterms:created xsi:type="dcterms:W3CDTF">2023-10-10T09:28:00Z</dcterms:created>
  <dcterms:modified xsi:type="dcterms:W3CDTF">2023-10-30T08:30:00Z</dcterms:modified>
</cp:coreProperties>
</file>