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079" w:right="0" w:firstLine="1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5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079" w:right="0" w:firstLine="1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Социалистической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Вьетнам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val="single" w:color="000000"/>
          <w:rtl w:val="0"/>
          <w:lang w:val="ru-RU"/>
        </w:rPr>
      </w:pPr>
    </w:p>
    <w:p>
      <w:pPr>
        <w:pStyle w:val="По умолчанию"/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Республики Беларусь и Правительством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Социалистической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Вьетнам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в области образования от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29.11.2011 2006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>5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II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 ступени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 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u w:color="000000"/>
          <w:rtl w:val="0"/>
          <w:lang w:val="ru-RU"/>
        </w:rPr>
        <w:t>для педагогических работников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из числа профессорско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преподавательского состава</w:t>
      </w:r>
      <w:r>
        <w:rPr>
          <w:rFonts w:ascii="Calibri" w:hAnsi="Calibri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прохождения стажировки в учреждениях высшего образования сторон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Белорусские кандидаты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которые направляются во Вьетнам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должны владеть английским или вьетнамским языком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Вьетнамская сторона обеспечивает указанным лицам бесплатное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доступ к проживанию в общежитии учреждения высшего образования на равных условиях с гражданами своего государства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скорую и неотложную медицинскую помощь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том числе учебными пособиями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выплату стипендии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национальным законодательством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условии успешного освоения содержания соответствующей образовательной программы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